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25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</w:t>
      </w:r>
    </w:p>
    <w:p w:rsidR="00D940BC" w:rsidRDefault="00D940BC" w:rsidP="00D940BC">
      <w:pPr>
        <w:rPr>
          <w:sz w:val="16"/>
          <w:szCs w:val="16"/>
        </w:rPr>
      </w:pPr>
    </w:p>
    <w:p w:rsidR="00EF20F3" w:rsidRPr="00CA514A" w:rsidRDefault="00EF20F3" w:rsidP="00EF20F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723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E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20F3" w:rsidRDefault="00D06428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F20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EF20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17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8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21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723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F20F3" w:rsidRPr="00514ED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EF20F3" w:rsidRPr="00514EDE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о градостроительной деятельности»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EF20F3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Постановление):</w:t>
      </w:r>
    </w:p>
    <w:p w:rsidR="00300D05" w:rsidRPr="009D6F51" w:rsidRDefault="00EF20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EF20F3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1.1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.1.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Срок предоставления муниципальной услуги составляет 7 рабочих дней со дня поступления </w:t>
      </w:r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 (далее– </w:t>
      </w:r>
      <w:proofErr w:type="gramStart"/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ув</w:t>
      </w:r>
      <w:proofErr w:type="gramEnd"/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едомление об окончании строительства) об окончании строительства в Администрацию.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Приостановление срока предоставления муниципальной услуги не предусмотрено</w:t>
      </w:r>
      <w:proofErr w:type="gramStart"/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F20F3" w:rsidRDefault="00EF20F3" w:rsidP="00EF20F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1.1.2.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2.17.1 Административного регламента в следующей редакции:</w:t>
      </w:r>
    </w:p>
    <w:p w:rsidR="00EF20F3" w:rsidRPr="00736321" w:rsidRDefault="00EF20F3" w:rsidP="00EF20F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>
        <w:rPr>
          <w:sz w:val="28"/>
          <w:szCs w:val="28"/>
        </w:rPr>
        <w:t>об окончании строительства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EF20F3" w:rsidRPr="00736321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EF20F3" w:rsidRPr="00736321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</w:t>
      </w:r>
      <w:r w:rsidRPr="00EF20F3">
        <w:rPr>
          <w:sz w:val="28"/>
          <w:szCs w:val="28"/>
        </w:rPr>
        <w:t xml:space="preserve"> с уведомлением о вручении</w:t>
      </w:r>
      <w:r>
        <w:rPr>
          <w:sz w:val="28"/>
          <w:szCs w:val="28"/>
        </w:rPr>
        <w:t xml:space="preserve"> в адрес Администрации</w:t>
      </w:r>
      <w:r w:rsidRPr="00736321">
        <w:rPr>
          <w:sz w:val="28"/>
          <w:szCs w:val="28"/>
        </w:rPr>
        <w:t>;</w:t>
      </w:r>
    </w:p>
    <w:p w:rsidR="00EF20F3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EF20F3" w:rsidRPr="00EF20F3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  <w:proofErr w:type="gramEnd"/>
    </w:p>
    <w:p w:rsidR="00EF20F3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1.1.3.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3.4.1.2.1.1 исключить слова «либо по почте».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1.1.4. 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3.4.1.5.2 исключить слова «либо направляется заявителю по почте»</w:t>
      </w:r>
    </w:p>
    <w:p w:rsidR="00EF20F3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1.1.5. исключить пункты 3.4.5.2.3, 3.4.5.2.4, 3.4.8.2.3, 3.4.8.2.4 Административного регламента.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1.1.6. 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>изложить пункт 3.4.8.2.5 Административного регламента в следующей редакции:</w:t>
      </w:r>
    </w:p>
    <w:p w:rsidR="00EF20F3" w:rsidRPr="00041D1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41D1B">
        <w:rPr>
          <w:sz w:val="28"/>
          <w:szCs w:val="27"/>
        </w:rPr>
        <w:t>«</w:t>
      </w:r>
      <w:r>
        <w:rPr>
          <w:sz w:val="28"/>
          <w:szCs w:val="27"/>
        </w:rPr>
        <w:t xml:space="preserve">3.4.8.2.5. </w:t>
      </w:r>
      <w:r w:rsidRPr="00041D1B">
        <w:rPr>
          <w:color w:val="000000" w:themeColor="text1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041D1B">
        <w:rPr>
          <w:color w:val="000000" w:themeColor="text1"/>
          <w:sz w:val="28"/>
          <w:szCs w:val="28"/>
        </w:rPr>
        <w:t>с даты выдачи</w:t>
      </w:r>
      <w:proofErr w:type="gramEnd"/>
      <w:r w:rsidRPr="00041D1B">
        <w:rPr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</w:t>
      </w: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Администрацию». 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 w:rsidRPr="00081B0A">
        <w:rPr>
          <w:sz w:val="28"/>
          <w:szCs w:val="27"/>
        </w:rPr>
        <w:t>1.1.7.</w:t>
      </w:r>
      <w:r>
        <w:rPr>
          <w:b/>
          <w:sz w:val="28"/>
          <w:szCs w:val="27"/>
        </w:rPr>
        <w:t xml:space="preserve"> </w:t>
      </w:r>
      <w:r w:rsidRPr="0079686B">
        <w:rPr>
          <w:color w:val="000000" w:themeColor="text1"/>
          <w:sz w:val="28"/>
          <w:szCs w:val="27"/>
        </w:rPr>
        <w:t>дополни</w:t>
      </w:r>
      <w:r>
        <w:rPr>
          <w:color w:val="000000" w:themeColor="text1"/>
          <w:sz w:val="28"/>
          <w:szCs w:val="27"/>
        </w:rPr>
        <w:t>ть Административный регламент пунктом 3.10</w:t>
      </w:r>
      <w:r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10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несоответствии.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10.1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дубликата уведомления о соответствии либо несоответствии 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F20F3" w:rsidRPr="0079686B" w:rsidRDefault="00EF20F3" w:rsidP="00EF20F3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</w:rPr>
        <w:t>:</w:t>
      </w:r>
    </w:p>
    <w:p w:rsidR="00EF20F3" w:rsidRPr="0079686B" w:rsidRDefault="00EF20F3" w:rsidP="00EF20F3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EF20F3" w:rsidRPr="0079686B" w:rsidRDefault="00EF20F3" w:rsidP="00EF20F3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ГПЗУ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дубликат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EF20F3" w:rsidRDefault="00EF20F3" w:rsidP="00EF20F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>.».</w:t>
      </w:r>
      <w:proofErr w:type="gramEnd"/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73EE8" w:rsidRDefault="00A86E53" w:rsidP="00791DA6">
      <w:pPr>
        <w:spacing w:after="200" w:line="276" w:lineRule="auto"/>
      </w:pPr>
      <w:r>
        <w:br w:type="page"/>
      </w:r>
    </w:p>
    <w:p w:rsidR="00E677BA" w:rsidRPr="00F31940" w:rsidRDefault="00E677BA" w:rsidP="00DC4D7E"/>
    <w:sectPr w:rsidR="00E677BA" w:rsidRPr="00F31940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E34FB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EF20F3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D49D-5F4A-4715-A2F6-DF54507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3</cp:revision>
  <cp:lastPrinted>2021-04-01T13:03:00Z</cp:lastPrinted>
  <dcterms:created xsi:type="dcterms:W3CDTF">2022-06-07T10:25:00Z</dcterms:created>
  <dcterms:modified xsi:type="dcterms:W3CDTF">2022-06-07T10:32:00Z</dcterms:modified>
</cp:coreProperties>
</file>