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9B48AA" w:rsidRPr="00DF357A" w:rsidRDefault="00867E3A" w:rsidP="00DF357A">
      <w:pPr>
        <w:jc w:val="center"/>
        <w:rPr>
          <w:b/>
          <w:bCs/>
        </w:rPr>
      </w:pPr>
      <w:proofErr w:type="gramStart"/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DF357A">
        <w:rPr>
          <w:b/>
          <w:bCs/>
        </w:rPr>
        <w:t>«</w:t>
      </w:r>
      <w:r w:rsidR="00DF357A" w:rsidRPr="00DF357A">
        <w:rPr>
          <w:b/>
          <w:bCs/>
        </w:rPr>
        <w:t>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контракта, а также осуществлением закупок товаров, работ, услуг для нужд муниципального образования «Светлогорский городской округ</w:t>
      </w:r>
      <w:proofErr w:type="gramEnd"/>
      <w:r w:rsidR="00DF357A" w:rsidRPr="00DF357A">
        <w:rPr>
          <w:b/>
          <w:bCs/>
        </w:rPr>
        <w:t>» у единственного поставщика</w:t>
      </w:r>
      <w:r w:rsidR="00DF357A">
        <w:rPr>
          <w:b/>
          <w:bCs/>
        </w:rPr>
        <w:t>»</w:t>
      </w:r>
    </w:p>
    <w:p w:rsidR="009B48AA" w:rsidRPr="005652BE" w:rsidRDefault="009B48AA" w:rsidP="009B48AA"/>
    <w:p w:rsidR="005505F8" w:rsidRPr="005505F8" w:rsidRDefault="005505F8" w:rsidP="00DA4D1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E41D1B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A7A" w:rsidRPr="00DF357A" w:rsidRDefault="00A12A7A" w:rsidP="00DF357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5505F8" w:rsidRPr="0047692F" w:rsidRDefault="00867E3A" w:rsidP="0047692F">
      <w:pPr>
        <w:ind w:right="-567"/>
        <w:jc w:val="both"/>
        <w:rPr>
          <w:b/>
        </w:rPr>
      </w:pPr>
      <w:proofErr w:type="gramStart"/>
      <w:r w:rsidRPr="005505F8">
        <w:lastRenderedPageBreak/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E41D1B" w:rsidRPr="00E41D1B">
        <w:rPr>
          <w:b/>
          <w:bCs/>
        </w:rPr>
        <w:t xml:space="preserve"> </w:t>
      </w:r>
      <w:r w:rsidR="00DF357A">
        <w:rPr>
          <w:b/>
          <w:bCs/>
        </w:rPr>
        <w:t>«</w:t>
      </w:r>
      <w:r w:rsidR="00DF357A" w:rsidRPr="00DF357A">
        <w:rPr>
          <w:b/>
          <w:bCs/>
        </w:rPr>
        <w:t>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контракта, а также осуществлением закупок товаров, работ, услуг для нужд</w:t>
      </w:r>
      <w:proofErr w:type="gramEnd"/>
      <w:r w:rsidR="00DF357A" w:rsidRPr="00DF357A">
        <w:rPr>
          <w:b/>
          <w:bCs/>
        </w:rPr>
        <w:t xml:space="preserve"> муниципального образования «Светлогорский городской округ» у единственного поставщика</w:t>
      </w:r>
      <w:r w:rsidR="00DF357A">
        <w:rPr>
          <w:b/>
          <w:bCs/>
        </w:rPr>
        <w:t xml:space="preserve">» </w:t>
      </w:r>
      <w:r w:rsidR="0047692F" w:rsidRPr="005505F8"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7692F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91597"/>
    <w:rsid w:val="00695898"/>
    <w:rsid w:val="006A1A86"/>
    <w:rsid w:val="006E05A2"/>
    <w:rsid w:val="006F6C2E"/>
    <w:rsid w:val="00715B16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48AA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35B45"/>
    <w:rsid w:val="00C403CE"/>
    <w:rsid w:val="00C56CFE"/>
    <w:rsid w:val="00C70150"/>
    <w:rsid w:val="00C76CA8"/>
    <w:rsid w:val="00CB36D8"/>
    <w:rsid w:val="00CC053D"/>
    <w:rsid w:val="00CC7769"/>
    <w:rsid w:val="00CD4593"/>
    <w:rsid w:val="00CE0E60"/>
    <w:rsid w:val="00CF111F"/>
    <w:rsid w:val="00D16C65"/>
    <w:rsid w:val="00D7542F"/>
    <w:rsid w:val="00DA4D1D"/>
    <w:rsid w:val="00DA6346"/>
    <w:rsid w:val="00DC5451"/>
    <w:rsid w:val="00DF28D2"/>
    <w:rsid w:val="00DF357A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536DB"/>
    <w:rsid w:val="00F63524"/>
    <w:rsid w:val="00F63F13"/>
    <w:rsid w:val="00F84643"/>
    <w:rsid w:val="00FA103F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30</cp:revision>
  <cp:lastPrinted>2022-05-17T12:02:00Z</cp:lastPrinted>
  <dcterms:created xsi:type="dcterms:W3CDTF">2021-12-13T09:08:00Z</dcterms:created>
  <dcterms:modified xsi:type="dcterms:W3CDTF">2022-05-17T12:44:00Z</dcterms:modified>
</cp:coreProperties>
</file>