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1" w:rsidRPr="00501896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Pr="00501896">
        <w:rPr>
          <w:rFonts w:ascii="Times New Roman" w:hAnsi="Times New Roman" w:cs="Times New Roman"/>
          <w:b/>
          <w:sz w:val="28"/>
          <w:szCs w:val="28"/>
        </w:rPr>
        <w:t xml:space="preserve">проведении публичных консультаций в рамках оценки </w:t>
      </w:r>
    </w:p>
    <w:p w:rsidR="00773521" w:rsidRPr="00501896" w:rsidRDefault="00773521" w:rsidP="00D91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96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проекта муниципального нормативного </w:t>
      </w:r>
    </w:p>
    <w:p w:rsidR="00981EAD" w:rsidRPr="00501896" w:rsidRDefault="00773521" w:rsidP="00501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1896"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 w:rsidRPr="00501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«Светлогорский </w:t>
      </w:r>
      <w:r w:rsidR="00AC6DBB" w:rsidRPr="0050189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50189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01896" w:rsidRPr="005018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156" w:rsidRPr="00501896">
        <w:rPr>
          <w:rFonts w:ascii="Times New Roman" w:hAnsi="Times New Roman" w:cs="Times New Roman"/>
          <w:b/>
          <w:sz w:val="28"/>
          <w:szCs w:val="28"/>
        </w:rPr>
        <w:t>«</w:t>
      </w:r>
      <w:r w:rsidR="00501896" w:rsidRPr="0050189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09.01.2019 г. № 04 «</w:t>
      </w:r>
      <w:r w:rsidR="00501896" w:rsidRPr="0050189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="00501896" w:rsidRPr="00501896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муниципального образования «Светлогорский городской округ»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«Светлогорский городской округ» </w:t>
      </w:r>
      <w:proofErr w:type="gramEnd"/>
    </w:p>
    <w:p w:rsidR="00773521" w:rsidRDefault="00773521" w:rsidP="007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1EAD" w:rsidRDefault="00981EAD" w:rsidP="0077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896">
        <w:rPr>
          <w:rFonts w:ascii="Times New Roman" w:hAnsi="Times New Roman" w:cs="Times New Roman"/>
          <w:sz w:val="28"/>
          <w:szCs w:val="28"/>
        </w:rPr>
        <w:t>1</w:t>
      </w:r>
      <w:r w:rsidR="000022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50189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018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73521" w:rsidRDefault="00773521" w:rsidP="00773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0" w:name="_Hlk536198616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bookmarkEnd w:id="0"/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сборе предложений заинтересованных лиц.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 официальном сайте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«Светлогорский городской округ» в сети Интернет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</w:hyperlink>
      <w:hyperlink r:id="rId9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svetlogorsk</w:t>
        </w:r>
        <w:proofErr w:type="spellEnd"/>
      </w:hyperlink>
      <w:hyperlink r:id="rId11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39.</w:t>
        </w:r>
      </w:hyperlink>
      <w:hyperlink r:id="rId12" w:history="1">
        <w:proofErr w:type="spellStart"/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 в разделе документы - оценка регулирующего воздействия и экспертиза МПА.</w:t>
      </w:r>
    </w:p>
    <w:p w:rsidR="003D6156" w:rsidRDefault="003D6156" w:rsidP="003D6156">
      <w:pPr>
        <w:tabs>
          <w:tab w:val="right" w:pos="992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принимаются по адресу: 238560,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Калининг</w:t>
      </w:r>
      <w:r>
        <w:rPr>
          <w:rFonts w:ascii="Times New Roman" w:hAnsi="Times New Roman" w:cs="Times New Roman"/>
          <w:sz w:val="28"/>
          <w:szCs w:val="28"/>
        </w:rPr>
        <w:t>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6D093C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г. Светлогорск, Калининградский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д.77 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501896">
        <w:rPr>
          <w:rFonts w:ascii="Times New Roman" w:hAnsi="Times New Roman" w:cs="Times New Roman"/>
          <w:sz w:val="28"/>
          <w:szCs w:val="28"/>
        </w:rPr>
        <w:t>12 а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0938A5">
        <w:rPr>
          <w:rFonts w:ascii="Times New Roman" w:hAnsi="Times New Roman" w:cs="Times New Roman"/>
          <w:sz w:val="28"/>
          <w:szCs w:val="28"/>
        </w:rPr>
        <w:t>у</w:t>
      </w:r>
      <w:r w:rsidRPr="005A01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38A5">
        <w:rPr>
          <w:rFonts w:ascii="Times New Roman" w:hAnsi="Times New Roman" w:cs="Times New Roman"/>
          <w:sz w:val="28"/>
          <w:szCs w:val="28"/>
          <w:lang w:val="en-US"/>
        </w:rPr>
        <w:t>dobrozhinskaya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501896" w:rsidRPr="00501896">
        <w:rPr>
          <w:rFonts w:ascii="Times New Roman" w:hAnsi="Times New Roman" w:cs="Times New Roman"/>
          <w:sz w:val="28"/>
          <w:szCs w:val="28"/>
        </w:rPr>
        <w:t>1</w:t>
      </w:r>
      <w:r w:rsidR="000022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9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01896">
        <w:rPr>
          <w:rFonts w:ascii="Times New Roman" w:hAnsi="Times New Roman" w:cs="Times New Roman"/>
          <w:sz w:val="28"/>
          <w:szCs w:val="28"/>
        </w:rPr>
        <w:t>0</w:t>
      </w:r>
      <w:r w:rsidR="000022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9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018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3D6156" w:rsidRDefault="003D6156" w:rsidP="003D615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городской  округ»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D710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9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>1.</w:t>
      </w:r>
      <w:r w:rsidRPr="00197246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направлено предлагаемое правовое регулирование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C6ECE" w:rsidRDefault="00EF4FC3" w:rsidP="008D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</w:t>
      </w:r>
      <w:r w:rsidR="009C6EC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E86372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E86372">
        <w:rPr>
          <w:rFonts w:ascii="Times New Roman" w:hAnsi="Times New Roman" w:cs="Times New Roman"/>
          <w:sz w:val="28"/>
          <w:szCs w:val="28"/>
        </w:rPr>
        <w:t>изменений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в </w:t>
      </w:r>
      <w:r w:rsidR="00E863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86372"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86372"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 w:rsidR="00E86372">
        <w:rPr>
          <w:rFonts w:ascii="Times New Roman" w:hAnsi="Times New Roman" w:cs="Times New Roman"/>
          <w:sz w:val="28"/>
          <w:szCs w:val="28"/>
        </w:rPr>
        <w:t>я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 w:rsidR="00E86372"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E8637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86372" w:rsidRPr="00890A9F">
        <w:rPr>
          <w:rFonts w:ascii="Times New Roman" w:hAnsi="Times New Roman" w:cs="Times New Roman"/>
          <w:sz w:val="28"/>
          <w:szCs w:val="28"/>
        </w:rPr>
        <w:t>постановление</w:t>
      </w:r>
      <w:r w:rsidR="00E86372">
        <w:rPr>
          <w:rFonts w:ascii="Times New Roman" w:hAnsi="Times New Roman" w:cs="Times New Roman"/>
          <w:sz w:val="28"/>
          <w:szCs w:val="28"/>
        </w:rPr>
        <w:t>м</w:t>
      </w:r>
      <w:r w:rsidR="00E86372" w:rsidRPr="00890A9F">
        <w:rPr>
          <w:rFonts w:ascii="Times New Roman" w:hAnsi="Times New Roman" w:cs="Times New Roman"/>
          <w:sz w:val="28"/>
          <w:szCs w:val="28"/>
        </w:rPr>
        <w:t xml:space="preserve"> </w:t>
      </w:r>
      <w:r w:rsidR="00E863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E86372" w:rsidRPr="00890A9F">
        <w:rPr>
          <w:rFonts w:ascii="Times New Roman" w:hAnsi="Times New Roman" w:cs="Times New Roman"/>
          <w:sz w:val="28"/>
          <w:szCs w:val="28"/>
        </w:rPr>
        <w:t>от 09.01.2019 г. № 0</w:t>
      </w:r>
      <w:r w:rsidR="00E86372">
        <w:rPr>
          <w:rFonts w:ascii="Times New Roman" w:hAnsi="Times New Roman" w:cs="Times New Roman"/>
          <w:sz w:val="28"/>
          <w:szCs w:val="28"/>
        </w:rPr>
        <w:t xml:space="preserve">4, </w:t>
      </w:r>
      <w:r w:rsidR="009C6EC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C6ECE" w:rsidRPr="00762392">
        <w:rPr>
          <w:rFonts w:ascii="Times New Roman" w:hAnsi="Times New Roman"/>
          <w:sz w:val="28"/>
          <w:szCs w:val="28"/>
        </w:rPr>
        <w:t xml:space="preserve">определяет круг заявителей, сроки </w:t>
      </w:r>
      <w:r w:rsidR="000938A5">
        <w:rPr>
          <w:rFonts w:ascii="Times New Roman" w:hAnsi="Times New Roman"/>
          <w:sz w:val="28"/>
          <w:szCs w:val="28"/>
        </w:rPr>
        <w:t>и последовательность действий при</w:t>
      </w:r>
      <w:proofErr w:type="gramEnd"/>
      <w:r w:rsidR="00093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38A5">
        <w:rPr>
          <w:rFonts w:ascii="Times New Roman" w:hAnsi="Times New Roman"/>
          <w:sz w:val="28"/>
          <w:szCs w:val="28"/>
        </w:rPr>
        <w:t xml:space="preserve">оформлении </w:t>
      </w:r>
      <w:r w:rsidR="000938A5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0938A5">
        <w:rPr>
          <w:rFonts w:ascii="Times New Roman" w:hAnsi="Times New Roman" w:cs="Times New Roman"/>
          <w:sz w:val="28"/>
          <w:szCs w:val="28"/>
        </w:rPr>
        <w:lastRenderedPageBreak/>
        <w:t>земельного участка для объекта индивидуального жилищного строительства или садового дома</w:t>
      </w:r>
      <w:r w:rsidR="000938A5"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9C6EC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73521" w:rsidRDefault="00197246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46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773521" w:rsidRPr="00197246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r w:rsidR="003A4946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E51D5C" w:rsidRDefault="000938A5" w:rsidP="0009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890A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0D5C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90A9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0A9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«Светлогорский городской округ»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оформлению градостроительного плана земельного участка для объекта индивидуального жилищного строительства или садового дома</w:t>
      </w:r>
      <w:r w:rsidRPr="00890A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890A9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90A9F">
        <w:rPr>
          <w:rFonts w:ascii="Times New Roman" w:hAnsi="Times New Roman" w:cs="Times New Roman"/>
          <w:sz w:val="28"/>
          <w:szCs w:val="28"/>
        </w:rPr>
        <w:t>от 09.01.2019 г. № 0</w:t>
      </w:r>
      <w:r>
        <w:rPr>
          <w:rFonts w:ascii="Times New Roman" w:hAnsi="Times New Roman" w:cs="Times New Roman"/>
          <w:sz w:val="28"/>
          <w:szCs w:val="28"/>
        </w:rPr>
        <w:t>4, с целью приведения его в соответствие действующему законодательству</w:t>
      </w:r>
      <w:r w:rsidR="0070352D">
        <w:rPr>
          <w:rFonts w:ascii="Times New Roman" w:hAnsi="Times New Roman" w:cs="Times New Roman"/>
          <w:sz w:val="28"/>
          <w:szCs w:val="28"/>
        </w:rPr>
        <w:t>, в том числе в части</w:t>
      </w:r>
      <w:proofErr w:type="gramEnd"/>
      <w:r w:rsidR="0070352D">
        <w:rPr>
          <w:rFonts w:ascii="Times New Roman" w:hAnsi="Times New Roman" w:cs="Times New Roman"/>
          <w:sz w:val="28"/>
          <w:szCs w:val="28"/>
        </w:rPr>
        <w:t xml:space="preserve"> сокращения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03">
        <w:rPr>
          <w:rFonts w:ascii="Times New Roman" w:hAnsi="Times New Roman" w:cs="Times New Roman"/>
          <w:b/>
          <w:sz w:val="28"/>
          <w:szCs w:val="28"/>
        </w:rPr>
        <w:t>3.</w:t>
      </w:r>
      <w:r w:rsidRPr="00B30203">
        <w:rPr>
          <w:rFonts w:ascii="Times New Roman" w:hAnsi="Times New Roman" w:cs="Times New Roman"/>
          <w:b/>
          <w:sz w:val="28"/>
          <w:szCs w:val="28"/>
        </w:rPr>
        <w:tab/>
        <w:t>Действующие нормативные правовые акты,</w:t>
      </w:r>
      <w:r w:rsidR="00B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203">
        <w:rPr>
          <w:rFonts w:ascii="Times New Roman" w:hAnsi="Times New Roman" w:cs="Times New Roman"/>
          <w:b/>
          <w:sz w:val="28"/>
          <w:szCs w:val="28"/>
        </w:rPr>
        <w:t>поручения,  решения, из которых вытекает необходимость разработки предлагаемого правового регулирования в данной области</w:t>
      </w:r>
      <w:r w:rsidR="00EE3271">
        <w:rPr>
          <w:rFonts w:ascii="Times New Roman" w:hAnsi="Times New Roman" w:cs="Times New Roman"/>
          <w:b/>
          <w:sz w:val="28"/>
          <w:szCs w:val="28"/>
        </w:rPr>
        <w:t>: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81EAD" w:rsidRPr="00981EAD" w:rsidRDefault="00981EAD" w:rsidP="00634F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81E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1EAD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1EAD" w:rsidRPr="00634F18" w:rsidRDefault="00981EAD" w:rsidP="00444D41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18">
        <w:rPr>
          <w:rFonts w:ascii="Times New Roman" w:hAnsi="Times New Roman" w:cs="Times New Roman"/>
          <w:sz w:val="28"/>
          <w:szCs w:val="28"/>
        </w:rPr>
        <w:t>Устав муниципального образования «Светлогорский городской округ»</w:t>
      </w:r>
      <w:r w:rsidR="003C5140" w:rsidRPr="00634F18">
        <w:rPr>
          <w:rFonts w:ascii="Times New Roman" w:hAnsi="Times New Roman" w:cs="Times New Roman"/>
          <w:sz w:val="28"/>
          <w:szCs w:val="28"/>
        </w:rPr>
        <w:t>.</w:t>
      </w:r>
    </w:p>
    <w:p w:rsidR="00773521" w:rsidRDefault="00773521" w:rsidP="00AD2C00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4.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Планируемый срок вступления в силу предлагаемого правового регулирования</w:t>
      </w:r>
      <w:r w:rsidR="00AD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3B" w:rsidRPr="005C5F3B">
        <w:rPr>
          <w:rFonts w:ascii="Times New Roman" w:hAnsi="Times New Roman" w:cs="Times New Roman"/>
          <w:sz w:val="28"/>
          <w:szCs w:val="28"/>
        </w:rPr>
        <w:t>с даты опубликования</w:t>
      </w:r>
      <w:r w:rsidR="00AD2C00" w:rsidRPr="00AD2C00">
        <w:rPr>
          <w:rFonts w:ascii="Times New Roman" w:hAnsi="Times New Roman" w:cs="Times New Roman"/>
          <w:sz w:val="28"/>
          <w:szCs w:val="28"/>
        </w:rPr>
        <w:t>.</w:t>
      </w:r>
    </w:p>
    <w:p w:rsidR="00773521" w:rsidRPr="00AD2C00" w:rsidRDefault="00773521" w:rsidP="00773521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5.</w:t>
      </w:r>
      <w:r w:rsidRPr="00AD2C00">
        <w:rPr>
          <w:rFonts w:ascii="Times New Roman" w:hAnsi="Times New Roman" w:cs="Times New Roman"/>
          <w:b/>
          <w:sz w:val="28"/>
          <w:szCs w:val="28"/>
        </w:rPr>
        <w:tab/>
        <w:t>Сведения о необходимости или об отсутствии необходимости установления переходного периода</w:t>
      </w:r>
    </w:p>
    <w:p w:rsidR="00AD2C00" w:rsidRDefault="00AD2C00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773521" w:rsidRPr="00AD2C00" w:rsidRDefault="00773521" w:rsidP="00444D41">
      <w:pPr>
        <w:tabs>
          <w:tab w:val="left" w:pos="426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2C00">
        <w:rPr>
          <w:rFonts w:ascii="Times New Roman" w:hAnsi="Times New Roman" w:cs="Times New Roman"/>
          <w:b/>
          <w:sz w:val="28"/>
          <w:szCs w:val="28"/>
        </w:rPr>
        <w:t>6.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C00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773521" w:rsidRDefault="00773521" w:rsidP="00773521">
      <w:pPr>
        <w:pBdr>
          <w:top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2409"/>
        <w:gridCol w:w="2694"/>
      </w:tblGrid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773521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21" w:rsidRPr="00574918" w:rsidRDefault="007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AA" w:rsidRPr="00FC73AA" w:rsidRDefault="008D2795" w:rsidP="008D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8D2795">
              <w:rPr>
                <w:rFonts w:ascii="Times New Roman" w:hAnsi="Times New Roman" w:cs="Times New Roman"/>
                <w:color w:val="2E2F1D"/>
                <w:sz w:val="24"/>
                <w:szCs w:val="24"/>
                <w:lang w:eastAsia="ru-RU"/>
              </w:rPr>
              <w:t>плановых (рейдовых) осмотров, обследований</w:t>
            </w:r>
          </w:p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1" w:rsidRPr="00574918" w:rsidRDefault="0077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151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 w:rsidP="008D279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 w:rsidP="00A2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6.3. Оценка дополнительных расходов 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 w:rsidP="009C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 Оценка расходов (доходов) бюджета </w:t>
            </w:r>
            <w:r w:rsidR="009C6EC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</w:t>
            </w:r>
            <w:r w:rsidR="00874CBA" w:rsidRPr="005749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»,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E41F94" w:rsidP="00E4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8D2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7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ED" w:rsidTr="00A276ED">
        <w:trPr>
          <w:trHeight w:val="7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ED" w:rsidRPr="00574918" w:rsidRDefault="00A2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18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73" w:rsidRPr="00574918" w:rsidRDefault="00444D41" w:rsidP="0044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6ED" w:rsidRPr="00A83273">
              <w:rPr>
                <w:rFonts w:ascii="Times New Roman" w:hAnsi="Times New Roman" w:cs="Times New Roman"/>
                <w:sz w:val="24"/>
                <w:szCs w:val="24"/>
              </w:rPr>
              <w:t xml:space="preserve">а повышение конкуренции  </w:t>
            </w:r>
            <w:r w:rsidR="00E41F94">
              <w:rPr>
                <w:rFonts w:ascii="Times New Roman" w:hAnsi="Times New Roman" w:cs="Times New Roman"/>
                <w:sz w:val="24"/>
                <w:szCs w:val="24"/>
              </w:rPr>
              <w:t>не влияет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D" w:rsidRPr="00574918" w:rsidRDefault="00A27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41" w:rsidRDefault="00773521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6.8. Обоснование выбора предпочтительного варианта предлагаемого правового регулирования проблемы</w:t>
      </w:r>
      <w:r w:rsidR="00444D41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Default="00942F89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89">
        <w:rPr>
          <w:rFonts w:ascii="Times New Roman" w:hAnsi="Times New Roman" w:cs="Times New Roman"/>
          <w:sz w:val="28"/>
          <w:szCs w:val="28"/>
        </w:rPr>
        <w:t>варианты не рассматривались.</w:t>
      </w:r>
    </w:p>
    <w:p w:rsidR="00D864F3" w:rsidRPr="00EE41C1" w:rsidRDefault="00D864F3" w:rsidP="00EE41C1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EE41C1">
        <w:rPr>
          <w:rFonts w:ascii="Times New Roman" w:hAnsi="Times New Roman" w:cs="Times New Roman"/>
          <w:sz w:val="28"/>
          <w:szCs w:val="28"/>
        </w:rPr>
        <w:t xml:space="preserve">Проект предусматривает корректировку </w:t>
      </w:r>
      <w:r w:rsidR="008F435D" w:rsidRPr="00EE41C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E41C1">
        <w:rPr>
          <w:rFonts w:ascii="Times New Roman" w:hAnsi="Times New Roman" w:cs="Times New Roman"/>
          <w:sz w:val="28"/>
          <w:szCs w:val="28"/>
        </w:rPr>
        <w:t>способами, предусмотренными действующим законодательством</w:t>
      </w:r>
      <w:r w:rsidR="00EE41C1">
        <w:rPr>
          <w:rFonts w:ascii="Times New Roman" w:hAnsi="Times New Roman" w:cs="Times New Roman"/>
          <w:sz w:val="28"/>
          <w:szCs w:val="28"/>
        </w:rPr>
        <w:t>.</w:t>
      </w:r>
    </w:p>
    <w:p w:rsidR="00D864F3" w:rsidRPr="00942F89" w:rsidRDefault="00D864F3" w:rsidP="00942F8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1F94" w:rsidRDefault="00773521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F89">
        <w:rPr>
          <w:rFonts w:ascii="Times New Roman" w:hAnsi="Times New Roman" w:cs="Times New Roman"/>
          <w:b/>
          <w:sz w:val="28"/>
          <w:szCs w:val="28"/>
        </w:rPr>
        <w:t>7.</w:t>
      </w:r>
      <w:r w:rsidRPr="00942F89">
        <w:rPr>
          <w:rFonts w:ascii="Times New Roman" w:hAnsi="Times New Roman" w:cs="Times New Roman"/>
          <w:b/>
          <w:sz w:val="28"/>
          <w:szCs w:val="28"/>
        </w:rPr>
        <w:tab/>
        <w:t>Иная информация по решению органа-разработчика, относящаяся к сведениям о предлагаемом правовом регулировании</w:t>
      </w:r>
      <w:r w:rsidR="00E41F94">
        <w:rPr>
          <w:rFonts w:ascii="Times New Roman" w:hAnsi="Times New Roman" w:cs="Times New Roman"/>
          <w:b/>
          <w:sz w:val="28"/>
          <w:szCs w:val="28"/>
        </w:rPr>
        <w:t>:</w:t>
      </w:r>
    </w:p>
    <w:p w:rsidR="00773521" w:rsidRPr="00942F89" w:rsidRDefault="00942F89" w:rsidP="0077352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89">
        <w:rPr>
          <w:rFonts w:ascii="Times New Roman" w:hAnsi="Times New Roman" w:cs="Times New Roman"/>
          <w:sz w:val="28"/>
          <w:szCs w:val="28"/>
        </w:rPr>
        <w:t>нет.</w:t>
      </w:r>
    </w:p>
    <w:p w:rsidR="00773521" w:rsidRDefault="00773521" w:rsidP="007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45C" w:rsidRDefault="00AF545C" w:rsidP="00444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DD3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3521" w:rsidRPr="00AF545C" w:rsidRDefault="00AF545C" w:rsidP="00AF545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</w:t>
      </w:r>
      <w:r w:rsidR="00FA32AA">
        <w:rPr>
          <w:rFonts w:ascii="Times New Roman" w:hAnsi="Times New Roman" w:cs="Times New Roman"/>
          <w:sz w:val="28"/>
          <w:szCs w:val="28"/>
        </w:rPr>
        <w:t>ьтаций:</w:t>
      </w:r>
    </w:p>
    <w:p w:rsidR="008F435D" w:rsidRDefault="00E41F94" w:rsidP="00A276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2C00" w:rsidRPr="007B19F4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 w:rsidR="007B19F4">
        <w:rPr>
          <w:rFonts w:ascii="Times New Roman" w:hAnsi="Times New Roman"/>
          <w:b/>
          <w:sz w:val="28"/>
          <w:szCs w:val="28"/>
        </w:rPr>
        <w:t xml:space="preserve"> </w:t>
      </w:r>
      <w:r w:rsidR="007B19F4" w:rsidRPr="002604A0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</w:t>
      </w:r>
      <w:r w:rsidR="007B19F4">
        <w:rPr>
          <w:rFonts w:ascii="Times New Roman" w:hAnsi="Times New Roman" w:cs="Times New Roman"/>
          <w:sz w:val="28"/>
          <w:szCs w:val="28"/>
        </w:rPr>
        <w:t>правлено правовое регулирование</w:t>
      </w:r>
      <w:r w:rsidR="006922AF">
        <w:rPr>
          <w:rFonts w:ascii="Times New Roman" w:hAnsi="Times New Roman"/>
          <w:sz w:val="28"/>
          <w:szCs w:val="28"/>
        </w:rPr>
        <w:t>?</w:t>
      </w:r>
    </w:p>
    <w:p w:rsidR="00AF545C" w:rsidRDefault="00AF545C" w:rsidP="00E41F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B19F4" w:rsidRPr="002604A0" w:rsidRDefault="00AD2C00" w:rsidP="007B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</w:t>
      </w:r>
      <w:r w:rsidR="007B19F4">
        <w:rPr>
          <w:rFonts w:ascii="Times New Roman" w:hAnsi="Times New Roman"/>
          <w:b/>
          <w:sz w:val="28"/>
          <w:szCs w:val="28"/>
        </w:rPr>
        <w:t xml:space="preserve">. </w:t>
      </w:r>
      <w:r w:rsidR="007B19F4" w:rsidRPr="002604A0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AD2C00" w:rsidRDefault="00AD2C00" w:rsidP="00AD2C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22AF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D41" w:rsidRDefault="00444D41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57AC" w:rsidRDefault="006922AF" w:rsidP="00555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7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7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938A5" w:rsidRDefault="000938A5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19F4" w:rsidRDefault="005557AC" w:rsidP="007735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874CB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      _______________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В.В.</w:t>
      </w:r>
      <w:r w:rsidR="00EE41C1">
        <w:rPr>
          <w:rFonts w:ascii="Times New Roman" w:hAnsi="Times New Roman" w:cs="Times New Roman"/>
          <w:sz w:val="28"/>
          <w:szCs w:val="28"/>
        </w:rPr>
        <w:t xml:space="preserve"> </w:t>
      </w:r>
      <w:r w:rsidR="006922AF">
        <w:rPr>
          <w:rFonts w:ascii="Times New Roman" w:hAnsi="Times New Roman" w:cs="Times New Roman"/>
          <w:sz w:val="28"/>
          <w:szCs w:val="28"/>
        </w:rPr>
        <w:t>Бондаренко</w:t>
      </w:r>
    </w:p>
    <w:p w:rsidR="00EE41C1" w:rsidRDefault="00EE41C1">
      <w:pPr>
        <w:rPr>
          <w:rFonts w:ascii="Times New Roman" w:hAnsi="Times New Roman" w:cs="Times New Roman"/>
          <w:sz w:val="16"/>
          <w:szCs w:val="16"/>
        </w:rPr>
      </w:pPr>
    </w:p>
    <w:p w:rsidR="000938A5" w:rsidRDefault="000938A5">
      <w:pPr>
        <w:rPr>
          <w:rFonts w:ascii="Times New Roman" w:hAnsi="Times New Roman" w:cs="Times New Roman"/>
          <w:sz w:val="16"/>
          <w:szCs w:val="16"/>
        </w:rPr>
      </w:pPr>
    </w:p>
    <w:p w:rsidR="000938A5" w:rsidRDefault="000938A5">
      <w:pPr>
        <w:rPr>
          <w:rFonts w:ascii="Times New Roman" w:hAnsi="Times New Roman" w:cs="Times New Roman"/>
          <w:sz w:val="16"/>
          <w:szCs w:val="16"/>
        </w:rPr>
      </w:pPr>
    </w:p>
    <w:p w:rsidR="00EE41C1" w:rsidRPr="00EE41C1" w:rsidRDefault="000938A5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Доброжинская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Ю.Ю</w:t>
      </w:r>
      <w:r w:rsidR="00EE41C1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br/>
      </w:r>
      <w:r w:rsidR="00EE41C1">
        <w:rPr>
          <w:rFonts w:ascii="Times New Roman" w:hAnsi="Times New Roman" w:cs="Times New Roman"/>
          <w:sz w:val="16"/>
          <w:szCs w:val="16"/>
        </w:rPr>
        <w:t>тел. 8(40153)333-</w:t>
      </w:r>
      <w:r>
        <w:rPr>
          <w:rFonts w:ascii="Times New Roman" w:hAnsi="Times New Roman" w:cs="Times New Roman"/>
          <w:sz w:val="16"/>
          <w:szCs w:val="16"/>
        </w:rPr>
        <w:t>11</w:t>
      </w:r>
    </w:p>
    <w:sectPr w:rsidR="00EE41C1" w:rsidRPr="00EE41C1" w:rsidSect="00D864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EE" w:rsidRDefault="00C35FEE" w:rsidP="00773521">
      <w:pPr>
        <w:spacing w:after="0" w:line="240" w:lineRule="auto"/>
      </w:pPr>
      <w:r>
        <w:separator/>
      </w:r>
    </w:p>
  </w:endnote>
  <w:endnote w:type="continuationSeparator" w:id="0">
    <w:p w:rsidR="00C35FEE" w:rsidRDefault="00C35FEE" w:rsidP="0077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EE" w:rsidRDefault="00C35FEE" w:rsidP="00773521">
      <w:pPr>
        <w:spacing w:after="0" w:line="240" w:lineRule="auto"/>
      </w:pPr>
      <w:r>
        <w:separator/>
      </w:r>
    </w:p>
  </w:footnote>
  <w:footnote w:type="continuationSeparator" w:id="0">
    <w:p w:rsidR="00C35FEE" w:rsidRDefault="00C35FEE" w:rsidP="0077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69A"/>
    <w:multiLevelType w:val="hybridMultilevel"/>
    <w:tmpl w:val="E2BE4BEE"/>
    <w:lvl w:ilvl="0" w:tplc="3A5C6A8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521"/>
    <w:rsid w:val="00002237"/>
    <w:rsid w:val="0002351C"/>
    <w:rsid w:val="000938A5"/>
    <w:rsid w:val="000B4F74"/>
    <w:rsid w:val="000D7178"/>
    <w:rsid w:val="00102089"/>
    <w:rsid w:val="00125841"/>
    <w:rsid w:val="00130077"/>
    <w:rsid w:val="001669D7"/>
    <w:rsid w:val="00197246"/>
    <w:rsid w:val="0020365A"/>
    <w:rsid w:val="00211F7E"/>
    <w:rsid w:val="00215484"/>
    <w:rsid w:val="002608F4"/>
    <w:rsid w:val="00264D29"/>
    <w:rsid w:val="00280927"/>
    <w:rsid w:val="002B0D89"/>
    <w:rsid w:val="002F19F1"/>
    <w:rsid w:val="00303A92"/>
    <w:rsid w:val="0035500F"/>
    <w:rsid w:val="00397AFF"/>
    <w:rsid w:val="003A29BE"/>
    <w:rsid w:val="003A4946"/>
    <w:rsid w:val="003C5140"/>
    <w:rsid w:val="003D6156"/>
    <w:rsid w:val="003E622F"/>
    <w:rsid w:val="003F07EA"/>
    <w:rsid w:val="00406C53"/>
    <w:rsid w:val="00421E18"/>
    <w:rsid w:val="00444D41"/>
    <w:rsid w:val="004D3F52"/>
    <w:rsid w:val="004F115C"/>
    <w:rsid w:val="00501896"/>
    <w:rsid w:val="005557AC"/>
    <w:rsid w:val="00574918"/>
    <w:rsid w:val="005A27AD"/>
    <w:rsid w:val="005C5F3B"/>
    <w:rsid w:val="005E1210"/>
    <w:rsid w:val="006239D0"/>
    <w:rsid w:val="00634F18"/>
    <w:rsid w:val="00653C0E"/>
    <w:rsid w:val="006922AF"/>
    <w:rsid w:val="006C3AF4"/>
    <w:rsid w:val="006D093C"/>
    <w:rsid w:val="0070352D"/>
    <w:rsid w:val="00717DC0"/>
    <w:rsid w:val="007277A3"/>
    <w:rsid w:val="00773521"/>
    <w:rsid w:val="007B145F"/>
    <w:rsid w:val="007B19F4"/>
    <w:rsid w:val="007C1E16"/>
    <w:rsid w:val="007E6901"/>
    <w:rsid w:val="00800C42"/>
    <w:rsid w:val="00800F6A"/>
    <w:rsid w:val="0087283F"/>
    <w:rsid w:val="00874CBA"/>
    <w:rsid w:val="008D2795"/>
    <w:rsid w:val="008F435D"/>
    <w:rsid w:val="00932FDA"/>
    <w:rsid w:val="00941026"/>
    <w:rsid w:val="00942F89"/>
    <w:rsid w:val="00981EAD"/>
    <w:rsid w:val="00994806"/>
    <w:rsid w:val="0099560B"/>
    <w:rsid w:val="009C6ECE"/>
    <w:rsid w:val="009D386A"/>
    <w:rsid w:val="009E5F97"/>
    <w:rsid w:val="00A276ED"/>
    <w:rsid w:val="00A72912"/>
    <w:rsid w:val="00A76C27"/>
    <w:rsid w:val="00A83273"/>
    <w:rsid w:val="00A904FC"/>
    <w:rsid w:val="00AA7463"/>
    <w:rsid w:val="00AC6DBB"/>
    <w:rsid w:val="00AD2C00"/>
    <w:rsid w:val="00AE581C"/>
    <w:rsid w:val="00AF4E7E"/>
    <w:rsid w:val="00AF545C"/>
    <w:rsid w:val="00B11713"/>
    <w:rsid w:val="00B166DC"/>
    <w:rsid w:val="00B228AB"/>
    <w:rsid w:val="00B30203"/>
    <w:rsid w:val="00B525D0"/>
    <w:rsid w:val="00B777DC"/>
    <w:rsid w:val="00B961E1"/>
    <w:rsid w:val="00C202CC"/>
    <w:rsid w:val="00C35FEE"/>
    <w:rsid w:val="00C627D4"/>
    <w:rsid w:val="00C62F35"/>
    <w:rsid w:val="00CA5A13"/>
    <w:rsid w:val="00D11D3C"/>
    <w:rsid w:val="00D130D0"/>
    <w:rsid w:val="00D31489"/>
    <w:rsid w:val="00D864F3"/>
    <w:rsid w:val="00D914BB"/>
    <w:rsid w:val="00DB1747"/>
    <w:rsid w:val="00E12BDA"/>
    <w:rsid w:val="00E41F94"/>
    <w:rsid w:val="00E42B21"/>
    <w:rsid w:val="00E51D5C"/>
    <w:rsid w:val="00E86372"/>
    <w:rsid w:val="00EB6D06"/>
    <w:rsid w:val="00EE3271"/>
    <w:rsid w:val="00EE41C1"/>
    <w:rsid w:val="00EF4FC3"/>
    <w:rsid w:val="00F421CB"/>
    <w:rsid w:val="00FA32AA"/>
    <w:rsid w:val="00FC003E"/>
    <w:rsid w:val="00FC73AA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35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3521"/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7352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AD2C0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4F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1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C6D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6DB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0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00F6A"/>
    <w:rPr>
      <w:b/>
      <w:bCs/>
    </w:rPr>
  </w:style>
  <w:style w:type="paragraph" w:styleId="ac">
    <w:name w:val="List Paragraph"/>
    <w:basedOn w:val="a"/>
    <w:uiPriority w:val="34"/>
    <w:qFormat/>
    <w:rsid w:val="00D130D0"/>
    <w:pPr>
      <w:ind w:left="720"/>
      <w:contextualSpacing/>
    </w:pPr>
  </w:style>
  <w:style w:type="paragraph" w:customStyle="1" w:styleId="ConsPlusTitle">
    <w:name w:val="ConsPlusTitle"/>
    <w:uiPriority w:val="99"/>
    <w:rsid w:val="0098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8D2795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consultantplus://offline/ref=376929D3F25086A46314223A816907C85F232743C7F7CA71B3A9F04244R1Y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" TargetMode="External"/><Relationship Id="rId14" Type="http://schemas.openxmlformats.org/officeDocument/2006/relationships/hyperlink" Target="consultantplus://offline/ref=376929D3F25086A46314223A816907C85F232341C6F5CA71B3A9F04244R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0540-617B-48F1-939E-9ECB3F7F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v.kostina</cp:lastModifiedBy>
  <cp:revision>2</cp:revision>
  <cp:lastPrinted>2019-10-24T13:29:00Z</cp:lastPrinted>
  <dcterms:created xsi:type="dcterms:W3CDTF">2020-02-17T14:47:00Z</dcterms:created>
  <dcterms:modified xsi:type="dcterms:W3CDTF">2020-02-17T14:47:00Z</dcterms:modified>
</cp:coreProperties>
</file>