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Rule="auto" w:line="240" w:after="0"/>
        <w:rPr>
          <w:rFonts w:ascii="Times New Roman" w:hAnsi="Times New Roman" w:cs="Times New Roman"/>
          <w:b w:val="false"/>
        </w:rPr>
      </w:pPr>
      <w:r>
        <w:rPr>
          <w:rFonts w:ascii="Times New Roman" w:hAnsi="Times New Roman" w:cs="Times New Roman"/>
          <w:b w:val="false"/>
          <w:sz w:val="26"/>
          <w:szCs w:val="26"/>
          <w:highlight w:val="none"/>
        </w:rPr>
        <w:t xml:space="preserve">Проект</w:t>
      </w:r>
      <w:r>
        <w:rPr>
          <w:rFonts w:ascii="Times New Roman" w:hAnsi="Times New Roman" w:cs="Times New Roman"/>
          <w:b w:val="false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6"/>
          <w:szCs w:val="26"/>
          <w:highlight w:val="none"/>
        </w:rPr>
      </w:pPr>
      <w:r>
        <w:rPr>
          <w:rFonts w:ascii="Times New Roman" w:hAnsi="Times New Roman" w:cs="Times New Roman"/>
          <w:b/>
          <w:sz w:val="26"/>
          <w:szCs w:val="26"/>
          <w:highlight w:val="none"/>
        </w:rPr>
      </w:r>
      <w:r>
        <w:rPr>
          <w:rFonts w:ascii="Times New Roman" w:hAnsi="Times New Roman" w:cs="Times New Roman"/>
          <w:b/>
          <w:sz w:val="26"/>
          <w:szCs w:val="26"/>
          <w:highlight w:val="none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6"/>
          <w:szCs w:val="26"/>
          <w:highlight w:val="non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РОССИЙСКАЯ ФЕДЕРАЦИЯ</w:t>
      </w:r>
      <w:r>
        <w:rPr>
          <w:rFonts w:ascii="Times New Roman" w:hAnsi="Times New Roman" w:cs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КАЛИНИНГРАДСКАЯ ОБЛАСТЬ</w:t>
      </w:r>
      <w:r>
        <w:rPr>
          <w:rFonts w:ascii="Times New Roman" w:hAnsi="Times New Roman" w:cs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ОКРУЖНОЙ СОВЕТ ДЕПУТАТОВ МУНИЦИПАЛЬНОГО ОБРАЗОВАНИЯ</w:t>
      </w:r>
      <w:r>
        <w:rPr>
          <w:rFonts w:ascii="Times New Roman" w:hAnsi="Times New Roman" w:cs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  <w:pBdr>
          <w:bottom w:val="single" w:color="000000" w:sz="12" w:space="0"/>
        </w:pBdr>
      </w:pPr>
      <w:r>
        <w:rPr>
          <w:rFonts w:ascii="Times New Roman" w:hAnsi="Times New Roman" w:cs="Times New Roman"/>
          <w:b/>
          <w:sz w:val="26"/>
          <w:szCs w:val="26"/>
        </w:rPr>
        <w:t xml:space="preserve">«СВЕТЛОГОРСКИЙ ГОРОДСКОЙ ОКРУГ»</w:t>
      </w: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</w:t>
      </w:r>
      <w:r>
        <w:rPr>
          <w:rFonts w:ascii="Times New Roman" w:hAnsi="Times New Roman" w:cs="Times New Roma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«__» ______ 2022 года                                                                                                       №</w:t>
      </w:r>
      <w:r>
        <w:rPr>
          <w:rFonts w:ascii="Times New Roman" w:hAnsi="Times New Roman" w:cs="Times New Roma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</w:t>
      </w:r>
      <w:r>
        <w:rPr>
          <w:rFonts w:ascii="Times New Roman" w:hAnsi="Times New Roman" w:cs="Times New Roman"/>
        </w:rPr>
      </w:r>
      <w:r/>
    </w:p>
    <w:p>
      <w:pPr>
        <w:pStyle w:val="827"/>
        <w:jc w:val="center"/>
        <w:spacing w:lineRule="atLeast" w:line="302" w:after="0" w:afterAutospacing="0" w:before="0" w:beforeAutospacing="0"/>
        <w:shd w:val="clear" w:fill="FFFFFF" w:color="auto"/>
        <w:rPr>
          <w:color w:val="000000"/>
        </w:rPr>
      </w:pPr>
      <w:r>
        <w:rPr>
          <w:b/>
          <w:bCs/>
          <w:color w:val="000000"/>
          <w:sz w:val="28"/>
          <w:szCs w:val="28"/>
        </w:rPr>
      </w:r>
      <w:r>
        <w:rPr>
          <w:color w:val="000000"/>
        </w:rPr>
      </w:r>
      <w:r/>
    </w:p>
    <w:p>
      <w:pPr>
        <w:pStyle w:val="827"/>
        <w:ind w:left="0" w:right="-283" w:firstLine="0"/>
        <w:jc w:val="center"/>
        <w:spacing w:lineRule="atLeast" w:line="302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Style w:val="822"/>
          <w:b/>
          <w:bCs/>
          <w:color w:val="000000" w:themeColor="text1"/>
          <w:sz w:val="28"/>
          <w:szCs w:val="28"/>
        </w:rPr>
        <w:t xml:space="preserve">О внесении изменений в </w:t>
      </w:r>
      <w:r>
        <w:rPr>
          <w:b/>
          <w:color w:val="000000"/>
          <w:sz w:val="28"/>
        </w:rPr>
        <w:t xml:space="preserve">Поло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жение о муниципальном жилищном контроле на территории муниципального образования </w:t>
      </w:r>
      <w:r/>
    </w:p>
    <w:p>
      <w:pPr>
        <w:pStyle w:val="827"/>
        <w:ind w:left="0" w:right="-283" w:firstLine="0"/>
        <w:jc w:val="center"/>
        <w:spacing w:lineRule="atLeast" w:line="302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«Светлогорский городской округ»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от 30.08.2021 года № 45</w:t>
      </w:r>
      <w:r/>
    </w:p>
    <w:p>
      <w:pPr>
        <w:pStyle w:val="828"/>
        <w:ind w:left="0" w:right="-283" w:firstLine="0"/>
        <w:spacing w:lineRule="atLeast" w:line="254" w:after="0" w:afterAutospacing="0" w:before="0" w:beforeAutospacing="0"/>
        <w:shd w:val="clear" w:fill="FFFFFF" w:color="auto"/>
        <w:rPr>
          <w:rFonts w:ascii="Calibri" w:hAnsi="Calibri" w:cs="Calibri"/>
          <w:color w:val="000000"/>
        </w:rPr>
      </w:pPr>
      <w:r>
        <w:rPr>
          <w:rStyle w:val="823"/>
          <w:rFonts w:ascii="Calibri" w:hAnsi="Calibri" w:cs="Calibri"/>
          <w:color w:val="000000"/>
        </w:rPr>
        <w:t xml:space="preserve"> </w:t>
      </w:r>
      <w:r>
        <w:rPr>
          <w:rFonts w:ascii="Calibri" w:hAnsi="Calibri" w:cs="Calibri"/>
          <w:color w:val="000000"/>
        </w:rPr>
      </w:r>
      <w:r/>
    </w:p>
    <w:p>
      <w:pPr>
        <w:pStyle w:val="828"/>
        <w:spacing w:lineRule="atLeast" w:line="254" w:after="0" w:afterAutospacing="0" w:before="0" w:beforeAutospacing="0"/>
        <w:shd w:val="clear" w:fill="FFFFFF" w:color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7"/>
          <w:szCs w:val="27"/>
        </w:rPr>
      </w:r>
      <w:r>
        <w:rPr>
          <w:rFonts w:ascii="Calibri" w:hAnsi="Calibri" w:cs="Calibri"/>
          <w:color w:val="000000"/>
        </w:rPr>
      </w:r>
      <w:r/>
    </w:p>
    <w:p>
      <w:pPr>
        <w:pStyle w:val="829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rStyle w:val="824"/>
          <w:color w:val="000000"/>
        </w:rPr>
      </w:r>
      <w:r>
        <w:rPr>
          <w:rStyle w:val="824"/>
          <w:color w:val="000000"/>
        </w:rPr>
        <w:t xml:space="preserve">В соответствии с Федеральным законом</w:t>
      </w:r>
      <w:r>
        <w:rPr>
          <w:rStyle w:val="824"/>
          <w:color w:val="000000"/>
        </w:rPr>
        <w:t xml:space="preserve"> от 31.07.2</w:t>
      </w:r>
      <w:r>
        <w:rPr>
          <w:rStyle w:val="824"/>
          <w:color w:val="000000"/>
        </w:rPr>
        <w:t xml:space="preserve">020 № 248-ФЗ «О государственном контроле (надзоре) и муниципальном контроле в Российской Федерации», руководствуясь статьями 16, 35 Федерального закона от 06.10.2003 № 131-ФЗ «Об общих принципах организации местного самоуправления в Российской Федерации», </w:t>
      </w:r>
      <w:r>
        <w:rPr>
          <w:rFonts w:eastAsia="Calibri"/>
        </w:rPr>
        <w:t xml:space="preserve">статьей 6 Устава муниципального образования «Светлогорский городской округ», окружной Совет депутатов муниципального образования «Светлогорский городской округ»</w:t>
      </w:r>
      <w:r>
        <w:rPr>
          <w:color w:val="000000"/>
        </w:rPr>
      </w:r>
      <w:r/>
    </w:p>
    <w:p>
      <w:r/>
      <w:r/>
    </w:p>
    <w:p>
      <w:pPr>
        <w:pStyle w:val="829"/>
        <w:ind w:firstLine="709"/>
        <w:jc w:val="center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rStyle w:val="822"/>
          <w:b/>
          <w:bCs/>
          <w:color w:val="000000"/>
          <w:sz w:val="28"/>
          <w:szCs w:val="28"/>
        </w:rPr>
        <w:t xml:space="preserve">РЕШИЛ:</w:t>
      </w:r>
      <w:r>
        <w:rPr>
          <w:color w:val="000000"/>
        </w:rPr>
      </w:r>
      <w:r/>
    </w:p>
    <w:p>
      <w:r/>
      <w:r/>
    </w:p>
    <w:p>
      <w:pPr>
        <w:pStyle w:val="820"/>
        <w:numPr>
          <w:ilvl w:val="0"/>
          <w:numId w:val="1"/>
        </w:numPr>
        <w:ind w:left="0" w:right="0" w:firstLine="850"/>
        <w:jc w:val="both"/>
        <w:spacing w:lineRule="auto" w:line="264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Внести изменения в пункт 6.2.2. Положения о муниципальном жилищном контроле на территории муниципального обра</w:t>
      </w:r>
      <w:r>
        <w:rPr>
          <w:rFonts w:ascii="Times New Roman" w:hAnsi="Times New Roman" w:cs="Times New Roman" w:eastAsia="Times New Roman"/>
          <w:b/>
          <w:sz w:val="24"/>
        </w:rPr>
        <w:t xml:space="preserve">зования «Светлогорский городской округ» утверждённого решением окружного Совета депутатов муниципального образования «Светлогорский городской округ» от 30.08.2021 года № 45 дополнив его подпунктом 5 со следующим содержанием: «инструментальное обследование»</w:t>
      </w:r>
      <w:r>
        <w:rPr>
          <w:rFonts w:ascii="Times New Roman" w:hAnsi="Times New Roman" w:cs="Times New Roman" w:eastAsia="Times New Roman"/>
          <w:b/>
          <w:sz w:val="24"/>
        </w:rPr>
        <w:t xml:space="preserve">.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pStyle w:val="820"/>
        <w:numPr>
          <w:ilvl w:val="0"/>
          <w:numId w:val="1"/>
        </w:numPr>
        <w:ind w:left="0" w:right="0" w:firstLine="850"/>
        <w:jc w:val="both"/>
        <w:spacing w:lineRule="auto" w:line="264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</w:r>
      <w:r>
        <w:rPr>
          <w:rFonts w:ascii="Times New Roman" w:hAnsi="Times New Roman" w:cs="Times New Roman" w:eastAsia="Times New Roman"/>
          <w:b/>
          <w:sz w:val="24"/>
        </w:rPr>
        <w:t xml:space="preserve">Внести изменения в пункт 6.3.2. Положения о муниципальном жилищном контроле на территории муниципального образования «Светлогорский городской округ» </w:t>
      </w:r>
      <w:r>
        <w:rPr>
          <w:rFonts w:ascii="Times New Roman" w:hAnsi="Times New Roman" w:cs="Times New Roman" w:eastAsia="Times New Roman"/>
          <w:b/>
          <w:sz w:val="24"/>
        </w:rPr>
        <w:t xml:space="preserve">утверждённого решением окружного Совета депутатов муниципального образования «Светлогорский городской округ»</w:t>
      </w:r>
      <w:r>
        <w:rPr>
          <w:rFonts w:ascii="Times New Roman" w:hAnsi="Times New Roman" w:cs="Times New Roman" w:eastAsia="Times New Roman"/>
          <w:b/>
          <w:sz w:val="24"/>
        </w:rPr>
        <w:t xml:space="preserve"> от 30.08.2021 года № 45 дополнив его подпунктом 6 со следующим содержанием: «инструментальное обследование»</w:t>
      </w:r>
      <w:r>
        <w:rPr>
          <w:rFonts w:ascii="Times New Roman" w:hAnsi="Times New Roman" w:cs="Times New Roman" w:eastAsia="Times New Roman"/>
          <w:b/>
          <w:sz w:val="24"/>
        </w:rPr>
        <w:t xml:space="preserve">.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pStyle w:val="820"/>
        <w:numPr>
          <w:ilvl w:val="0"/>
          <w:numId w:val="1"/>
        </w:numPr>
        <w:ind w:left="0" w:right="0" w:firstLine="850"/>
        <w:jc w:val="both"/>
        <w:spacing w:lineRule="auto" w:line="264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/>
          <w:sz w:val="24"/>
        </w:rPr>
        <w:t xml:space="preserve">Внести изменения в пункт 6.5.2. Положения о муниципальном жилищном контроле на территории муниципального образования «Светлогорский городской округ»</w:t>
      </w:r>
      <w:r>
        <w:rPr>
          <w:rFonts w:ascii="Times New Roman" w:hAnsi="Times New Roman" w:cs="Times New Roman" w:eastAsia="Times New Roman"/>
          <w:b/>
          <w:sz w:val="24"/>
        </w:rPr>
        <w:t xml:space="preserve"> утверждённого решением окружного Совета депутатов муниципального образования «Светлогорский городской округ»</w:t>
      </w:r>
      <w:r>
        <w:rPr>
          <w:rFonts w:ascii="Times New Roman" w:hAnsi="Times New Roman" w:cs="Times New Roman" w:eastAsia="Times New Roman"/>
          <w:b/>
          <w:sz w:val="24"/>
        </w:rPr>
        <w:t xml:space="preserve">  от 30.08.2021 года № 45 дополнив его подпунктом 6 со следующим содержанием: «инструментальное обследование»</w:t>
      </w:r>
      <w:r>
        <w:rPr>
          <w:rFonts w:ascii="Times New Roman" w:hAnsi="Times New Roman" w:cs="Times New Roman" w:eastAsia="Times New Roman"/>
          <w:b/>
          <w:sz w:val="24"/>
        </w:rPr>
        <w:t xml:space="preserve">.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pStyle w:val="820"/>
        <w:numPr>
          <w:ilvl w:val="0"/>
          <w:numId w:val="1"/>
        </w:numPr>
        <w:ind w:left="0" w:right="0" w:firstLine="850"/>
        <w:jc w:val="both"/>
        <w:spacing w:lineRule="auto" w:line="264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Внести изменения в Положение о муниципальном жилищном контроле на территории муниципального образования «Светлогорский городской округ» </w:t>
      </w:r>
      <w:r>
        <w:rPr>
          <w:rFonts w:ascii="Times New Roman" w:hAnsi="Times New Roman" w:cs="Times New Roman" w:eastAsia="Times New Roman"/>
          <w:b/>
          <w:sz w:val="24"/>
        </w:rPr>
        <w:t xml:space="preserve">утверждённого окружным Советом депутатов муниципального образования «Светлогорский городской округ»</w:t>
      </w:r>
      <w:r>
        <w:rPr>
          <w:rFonts w:ascii="Times New Roman" w:hAnsi="Times New Roman" w:cs="Times New Roman" w:eastAsia="Times New Roman"/>
          <w:b/>
          <w:sz w:val="24"/>
        </w:rPr>
        <w:t xml:space="preserve">  от 30.08.2021 года № 45, добавив раздел 9 - </w:t>
      </w: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Ключевые показатели эффективности и результативности муниципального жилищного контроля, 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со следующим содержанием: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pStyle w:val="820"/>
        <w:numPr>
          <w:ilvl w:val="1"/>
          <w:numId w:val="2"/>
        </w:numPr>
        <w:ind w:left="0" w:firstLine="851"/>
        <w:jc w:val="both"/>
        <w:spacing w:lineRule="auto" w:line="264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С</w:t>
      </w:r>
      <w:r>
        <w:rPr>
          <w:rFonts w:ascii="Times New Roman" w:hAnsi="Times New Roman" w:cs="Times New Roman"/>
          <w:b/>
          <w:sz w:val="24"/>
          <w:szCs w:val="28"/>
        </w:rPr>
        <w:t xml:space="preserve">истем</w:t>
      </w:r>
      <w:r>
        <w:rPr>
          <w:rFonts w:ascii="Times New Roman" w:hAnsi="Times New Roman" w:cs="Times New Roman"/>
          <w:b/>
          <w:sz w:val="24"/>
          <w:szCs w:val="28"/>
        </w:rPr>
        <w:t xml:space="preserve">а</w:t>
      </w:r>
      <w:r>
        <w:rPr>
          <w:rFonts w:ascii="Times New Roman" w:hAnsi="Times New Roman" w:cs="Times New Roman"/>
          <w:b/>
          <w:sz w:val="24"/>
          <w:szCs w:val="28"/>
        </w:rPr>
        <w:t xml:space="preserve"> оценки результативности и эффективности</w:t>
      </w:r>
      <w:r>
        <w:rPr>
          <w:rFonts w:ascii="Times New Roman" w:hAnsi="Times New Roman" w:cs="Times New Roman"/>
          <w:b/>
          <w:sz w:val="24"/>
          <w:szCs w:val="28"/>
        </w:rPr>
        <w:t xml:space="preserve"> деятельности контрольного органа при </w:t>
      </w:r>
      <w:r>
        <w:rPr>
          <w:rFonts w:ascii="Times New Roman" w:hAnsi="Times New Roman" w:cs="Times New Roman"/>
          <w:b/>
          <w:sz w:val="24"/>
          <w:szCs w:val="28"/>
        </w:rPr>
        <w:t xml:space="preserve">осуществлени</w:t>
      </w:r>
      <w:r>
        <w:rPr>
          <w:rFonts w:ascii="Times New Roman" w:hAnsi="Times New Roman" w:cs="Times New Roman"/>
          <w:b/>
          <w:sz w:val="24"/>
          <w:szCs w:val="28"/>
        </w:rPr>
        <w:t xml:space="preserve">и</w:t>
      </w:r>
      <w:r>
        <w:rPr>
          <w:rFonts w:ascii="Times New Roman" w:hAnsi="Times New Roman" w:cs="Times New Roman"/>
          <w:b/>
          <w:sz w:val="24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sz w:val="24"/>
          <w:szCs w:val="28"/>
        </w:rPr>
        <w:t xml:space="preserve"> жилищного </w:t>
      </w:r>
      <w:r>
        <w:rPr>
          <w:rFonts w:ascii="Times New Roman" w:hAnsi="Times New Roman" w:cs="Times New Roman"/>
          <w:b/>
          <w:sz w:val="24"/>
          <w:szCs w:val="28"/>
        </w:rPr>
        <w:t xml:space="preserve"> контроля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определяется статьей 30 Федерального закона № 248-ФЗ</w:t>
      </w:r>
      <w:r>
        <w:rPr>
          <w:rFonts w:ascii="Times New Roman" w:hAnsi="Times New Roman" w:cs="Times New Roman"/>
          <w:b/>
          <w:sz w:val="24"/>
          <w:szCs w:val="28"/>
        </w:rPr>
        <w:t xml:space="preserve"> на основе ключевых показателей </w:t>
      </w:r>
      <w:r>
        <w:rPr>
          <w:rFonts w:ascii="Times New Roman" w:hAnsi="Times New Roman" w:cs="Times New Roman"/>
          <w:b/>
          <w:sz w:val="24"/>
          <w:szCs w:val="28"/>
        </w:rPr>
        <w:t xml:space="preserve">видов контроля, отражающих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уровень минимизации вреда (ущерба)охраняемым законом ценностям, уровень </w:t>
      </w:r>
      <w:r>
        <w:rPr>
          <w:rFonts w:ascii="Times New Roman" w:hAnsi="Times New Roman" w:cs="Times New Roman"/>
          <w:b/>
          <w:sz w:val="24"/>
          <w:szCs w:val="28"/>
        </w:rPr>
        <w:t xml:space="preserve">устранения риска причинения вреда (ущерба)</w:t>
      </w:r>
      <w:r>
        <w:rPr>
          <w:rFonts w:ascii="Times New Roman" w:hAnsi="Times New Roman" w:cs="Times New Roman"/>
          <w:b/>
          <w:sz w:val="24"/>
          <w:szCs w:val="28"/>
        </w:rPr>
        <w:t xml:space="preserve"> при осуществлении муниципального контроля, по которым устанавливаются целевые (плановые) значения и достижение которых должен обеспечить соответствующий контрольный орган</w:t>
      </w:r>
      <w:r>
        <w:rPr>
          <w:rFonts w:ascii="Times New Roman" w:hAnsi="Times New Roman" w:cs="Times New Roman"/>
          <w:b/>
          <w:sz w:val="24"/>
          <w:szCs w:val="28"/>
        </w:rPr>
        <w:t xml:space="preserve">.</w:t>
      </w:r>
      <w:r>
        <w:rPr>
          <w:rFonts w:ascii="Times New Roman" w:hAnsi="Times New Roman" w:cs="Times New Roman"/>
          <w:b/>
          <w:sz w:val="24"/>
          <w:szCs w:val="28"/>
        </w:rPr>
      </w:r>
      <w:r/>
    </w:p>
    <w:p>
      <w:pPr>
        <w:pStyle w:val="820"/>
        <w:numPr>
          <w:ilvl w:val="1"/>
          <w:numId w:val="2"/>
        </w:numPr>
        <w:ind w:left="0" w:firstLine="851"/>
        <w:jc w:val="both"/>
        <w:spacing w:lineRule="auto" w:line="264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Ключевыми показателями эффективности и результативности </w:t>
      </w:r>
      <w:r>
        <w:rPr>
          <w:rFonts w:ascii="Times New Roman" w:hAnsi="Times New Roman" w:cs="Times New Roman"/>
          <w:b/>
          <w:sz w:val="24"/>
          <w:szCs w:val="28"/>
        </w:rPr>
        <w:t xml:space="preserve">при </w:t>
      </w:r>
      <w:r>
        <w:rPr>
          <w:rFonts w:ascii="Times New Roman" w:hAnsi="Times New Roman" w:cs="Times New Roman"/>
          <w:b/>
          <w:sz w:val="24"/>
          <w:szCs w:val="28"/>
        </w:rPr>
        <w:t xml:space="preserve">осуществлени</w:t>
      </w:r>
      <w:r>
        <w:rPr>
          <w:rFonts w:ascii="Times New Roman" w:hAnsi="Times New Roman" w:cs="Times New Roman"/>
          <w:b/>
          <w:sz w:val="24"/>
          <w:szCs w:val="28"/>
        </w:rPr>
        <w:t xml:space="preserve">и</w:t>
      </w:r>
      <w:r>
        <w:rPr>
          <w:rFonts w:ascii="Times New Roman" w:hAnsi="Times New Roman" w:cs="Times New Roman"/>
          <w:b/>
          <w:sz w:val="24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жилищного </w:t>
      </w:r>
      <w:r>
        <w:rPr>
          <w:rFonts w:ascii="Times New Roman" w:hAnsi="Times New Roman" w:cs="Times New Roman"/>
          <w:b/>
          <w:sz w:val="24"/>
          <w:szCs w:val="28"/>
        </w:rPr>
        <w:t xml:space="preserve">контроля</w:t>
      </w:r>
      <w:r>
        <w:rPr>
          <w:rFonts w:ascii="Times New Roman" w:hAnsi="Times New Roman" w:cs="Times New Roman"/>
          <w:b/>
          <w:sz w:val="24"/>
          <w:szCs w:val="28"/>
        </w:rPr>
        <w:t xml:space="preserve"> являются: </w:t>
      </w:r>
      <w:r>
        <w:rPr>
          <w:rFonts w:ascii="Times New Roman" w:hAnsi="Times New Roman" w:cs="Times New Roman"/>
          <w:b/>
          <w:sz w:val="24"/>
          <w:szCs w:val="28"/>
        </w:rPr>
      </w:r>
      <w:r/>
    </w:p>
    <w:p>
      <w:pPr>
        <w:pStyle w:val="820"/>
        <w:numPr>
          <w:ilvl w:val="0"/>
          <w:numId w:val="3"/>
        </w:numPr>
        <w:ind w:left="0" w:firstLine="851"/>
        <w:jc w:val="both"/>
        <w:spacing w:lineRule="auto" w:line="264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доля решений, выданных предписаний, а также и</w:t>
      </w:r>
      <w:r>
        <w:rPr>
          <w:rFonts w:ascii="Times New Roman" w:hAnsi="Times New Roman" w:cs="Times New Roman"/>
          <w:b/>
          <w:sz w:val="24"/>
          <w:szCs w:val="28"/>
        </w:rPr>
        <w:t xml:space="preserve">ных ненормативных правовых актов, принятых в отчетном году по результатам проведения контрольных (надзорных) мероприятий и рассмотрения жалоб, которые отменены частично или полностью на основании судебных актов, вступивших в законную силу в отчетном году; </w:t>
      </w:r>
      <w:r>
        <w:rPr>
          <w:rFonts w:ascii="Times New Roman" w:hAnsi="Times New Roman" w:cs="Times New Roman"/>
          <w:b/>
          <w:sz w:val="24"/>
          <w:szCs w:val="28"/>
        </w:rPr>
      </w:r>
      <w:r/>
    </w:p>
    <w:p>
      <w:pPr>
        <w:pStyle w:val="820"/>
        <w:numPr>
          <w:ilvl w:val="0"/>
          <w:numId w:val="3"/>
        </w:numPr>
        <w:ind w:left="0" w:firstLine="851"/>
        <w:jc w:val="both"/>
        <w:spacing w:lineRule="auto" w:line="264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доля решений, выданных предписаний, а также иных ненормативн</w:t>
      </w:r>
      <w:r>
        <w:rPr>
          <w:rFonts w:ascii="Times New Roman" w:hAnsi="Times New Roman" w:cs="Times New Roman"/>
          <w:b/>
          <w:sz w:val="24"/>
          <w:szCs w:val="28"/>
        </w:rPr>
        <w:t xml:space="preserve">ых правовых актов, принятых в предыдущих отчетных периодах по результатам проведения контрольных (надзорных) мероприятий и рассмотрения жалоб, которые отменены частично или полностью на основании судебных актов, вступивших в законную силу в отчетном году. </w:t>
      </w:r>
      <w:r>
        <w:rPr>
          <w:rFonts w:ascii="Times New Roman" w:hAnsi="Times New Roman" w:cs="Times New Roman"/>
          <w:b/>
          <w:sz w:val="24"/>
          <w:szCs w:val="28"/>
        </w:rPr>
      </w:r>
      <w:r/>
    </w:p>
    <w:p>
      <w:pPr>
        <w:pStyle w:val="820"/>
        <w:numPr>
          <w:ilvl w:val="1"/>
          <w:numId w:val="2"/>
        </w:numPr>
        <w:ind w:left="0" w:firstLine="851"/>
        <w:jc w:val="both"/>
        <w:spacing w:lineRule="auto" w:line="2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Показатель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ДР1</w:t>
      </w:r>
      <w:r>
        <w:rPr>
          <w:rFonts w:ascii="Times New Roman" w:hAnsi="Times New Roman" w:cs="Times New Roman"/>
          <w:b/>
          <w:sz w:val="24"/>
          <w:szCs w:val="28"/>
        </w:rPr>
        <w:t xml:space="preserve">, предусмотренный подпунктом "а" пункта 9</w:t>
      </w:r>
      <w:r>
        <w:rPr>
          <w:rFonts w:ascii="Times New Roman" w:hAnsi="Times New Roman" w:cs="Times New Roman"/>
          <w:b/>
          <w:sz w:val="24"/>
          <w:szCs w:val="28"/>
        </w:rPr>
        <w:t xml:space="preserve">.2</w:t>
      </w:r>
      <w:r>
        <w:rPr>
          <w:rFonts w:ascii="Times New Roman" w:hAnsi="Times New Roman" w:cs="Times New Roman"/>
          <w:b/>
          <w:sz w:val="24"/>
          <w:szCs w:val="28"/>
        </w:rPr>
        <w:t xml:space="preserve"> настоящего Положения, рассчитывается по формуле:</w:t>
      </w:r>
      <w:r>
        <w:rPr>
          <w:rFonts w:ascii="Times New Roman" w:hAnsi="Times New Roman" w:cs="Times New Roman"/>
          <w:b/>
          <w:sz w:val="24"/>
          <w:szCs w:val="28"/>
        </w:rPr>
      </w:r>
      <w:r/>
    </w:p>
    <w:p>
      <w:pPr>
        <w:pStyle w:val="820"/>
        <w:ind w:left="0" w:firstLine="851"/>
        <w:jc w:val="both"/>
        <w:spacing w:lineRule="auto" w:line="264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ДР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1</w:t>
      </w:r>
      <w:r>
        <w:rPr>
          <w:rFonts w:ascii="Times New Roman" w:hAnsi="Times New Roman" w:cs="Times New Roman"/>
          <w:b/>
          <w:sz w:val="24"/>
          <w:szCs w:val="28"/>
        </w:rPr>
        <w:t xml:space="preserve"> = 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1</w:t>
      </w:r>
      <w:r>
        <w:rPr>
          <w:rFonts w:ascii="Times New Roman" w:hAnsi="Times New Roman" w:cs="Times New Roman"/>
          <w:b/>
          <w:sz w:val="24"/>
          <w:szCs w:val="28"/>
        </w:rPr>
        <w:t xml:space="preserve"> / </w:t>
      </w:r>
      <w:r>
        <w:rPr>
          <w:rFonts w:ascii="Times New Roman" w:hAnsi="Times New Roman" w:cs="Times New Roman"/>
          <w:b/>
          <w:sz w:val="24"/>
          <w:szCs w:val="28"/>
        </w:rPr>
        <w:t xml:space="preserve">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общ</w:t>
      </w:r>
      <w:r>
        <w:rPr>
          <w:rFonts w:ascii="Times New Roman" w:hAnsi="Times New Roman" w:cs="Times New Roman"/>
          <w:b/>
          <w:sz w:val="24"/>
          <w:szCs w:val="28"/>
        </w:rPr>
        <w:t xml:space="preserve"> * 100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%, </w:t>
      </w:r>
      <w:r>
        <w:rPr>
          <w:rFonts w:ascii="Times New Roman" w:hAnsi="Times New Roman" w:cs="Times New Roman"/>
          <w:b/>
          <w:sz w:val="24"/>
          <w:szCs w:val="28"/>
        </w:rPr>
      </w:r>
      <w:r/>
    </w:p>
    <w:p>
      <w:pPr>
        <w:pStyle w:val="820"/>
        <w:ind w:left="0" w:firstLine="851"/>
        <w:jc w:val="both"/>
        <w:spacing w:lineRule="auto" w:line="264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где: 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1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–</w:t>
      </w:r>
      <w:r>
        <w:rPr>
          <w:rFonts w:ascii="Times New Roman" w:hAnsi="Times New Roman" w:cs="Times New Roman"/>
          <w:b/>
          <w:sz w:val="24"/>
          <w:szCs w:val="28"/>
        </w:rPr>
        <w:t xml:space="preserve"> количество решений, выданных предписаний, а также</w:t>
      </w:r>
      <w:r>
        <w:rPr>
          <w:rFonts w:ascii="Times New Roman" w:hAnsi="Times New Roman" w:cs="Times New Roman"/>
          <w:b/>
          <w:sz w:val="24"/>
          <w:szCs w:val="28"/>
        </w:rPr>
        <w:t xml:space="preserve"> иных ненормативных правовых актов, принятых в отчетном году по результатам рассмотрения жалоб, проведения контрольных (надзорных) мероприятий, которые отменены частично или полностью на основании судебных актов, вступивших в законную силу в отчетном году;</w:t>
      </w:r>
      <w:r>
        <w:rPr>
          <w:rFonts w:ascii="Times New Roman" w:hAnsi="Times New Roman" w:cs="Times New Roman"/>
          <w:b/>
          <w:sz w:val="24"/>
          <w:szCs w:val="28"/>
        </w:rPr>
      </w:r>
      <w:r/>
    </w:p>
    <w:p>
      <w:pPr>
        <w:pStyle w:val="820"/>
        <w:ind w:left="0" w:firstLine="851"/>
        <w:jc w:val="both"/>
        <w:spacing w:lineRule="auto" w:line="264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общ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–</w:t>
      </w:r>
      <w:r>
        <w:rPr>
          <w:rFonts w:ascii="Times New Roman" w:hAnsi="Times New Roman" w:cs="Times New Roman"/>
          <w:b/>
          <w:sz w:val="24"/>
          <w:szCs w:val="28"/>
        </w:rPr>
        <w:t xml:space="preserve"> общее количество решений, выданных предписаний, а также иных ненормативных правовых актов, принятых в отчетном году по результатам рассмотрения жалоб, проведения контрольных (надзорных) мероприятий.</w:t>
      </w:r>
      <w:r>
        <w:rPr>
          <w:rFonts w:ascii="Times New Roman" w:hAnsi="Times New Roman" w:cs="Times New Roman"/>
          <w:b/>
          <w:sz w:val="24"/>
          <w:szCs w:val="28"/>
        </w:rPr>
      </w:r>
      <w:r/>
    </w:p>
    <w:p>
      <w:pPr>
        <w:pStyle w:val="820"/>
        <w:numPr>
          <w:ilvl w:val="1"/>
          <w:numId w:val="2"/>
        </w:numPr>
        <w:ind w:left="0" w:firstLine="851"/>
        <w:jc w:val="both"/>
        <w:spacing w:lineRule="auto" w:line="264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Показатель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ДР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2</w:t>
      </w:r>
      <w:r>
        <w:rPr>
          <w:rFonts w:ascii="Times New Roman" w:hAnsi="Times New Roman" w:cs="Times New Roman"/>
          <w:b/>
          <w:sz w:val="24"/>
          <w:szCs w:val="28"/>
        </w:rPr>
        <w:t xml:space="preserve">, предусмотренный подпунктом "б" пункта 9</w:t>
      </w:r>
      <w:r>
        <w:rPr>
          <w:rFonts w:ascii="Times New Roman" w:hAnsi="Times New Roman" w:cs="Times New Roman"/>
          <w:b/>
          <w:sz w:val="24"/>
          <w:szCs w:val="28"/>
        </w:rPr>
        <w:t xml:space="preserve">.2</w:t>
      </w:r>
      <w:r>
        <w:rPr>
          <w:rFonts w:ascii="Times New Roman" w:hAnsi="Times New Roman" w:cs="Times New Roman"/>
          <w:b/>
          <w:sz w:val="24"/>
          <w:szCs w:val="28"/>
        </w:rPr>
        <w:t xml:space="preserve"> настоящего Положения, рассчитывается по формуле:</w:t>
      </w:r>
      <w:r>
        <w:rPr>
          <w:rFonts w:ascii="Times New Roman" w:hAnsi="Times New Roman" w:cs="Times New Roman"/>
          <w:b/>
          <w:sz w:val="24"/>
          <w:szCs w:val="28"/>
        </w:rPr>
      </w:r>
      <w:r/>
    </w:p>
    <w:p>
      <w:pPr>
        <w:pStyle w:val="820"/>
        <w:ind w:left="0" w:firstLine="851"/>
        <w:jc w:val="both"/>
        <w:spacing w:lineRule="auto" w:line="264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ДР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2</w:t>
      </w:r>
      <w:r>
        <w:rPr>
          <w:rFonts w:ascii="Times New Roman" w:hAnsi="Times New Roman" w:cs="Times New Roman"/>
          <w:b/>
          <w:sz w:val="24"/>
          <w:szCs w:val="28"/>
        </w:rPr>
        <w:t xml:space="preserve"> = 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2</w:t>
      </w:r>
      <w:r>
        <w:rPr>
          <w:rFonts w:ascii="Times New Roman" w:hAnsi="Times New Roman" w:cs="Times New Roman"/>
          <w:b/>
          <w:sz w:val="24"/>
          <w:szCs w:val="28"/>
        </w:rPr>
        <w:t xml:space="preserve"> / </w:t>
      </w:r>
      <w:r>
        <w:rPr>
          <w:rFonts w:ascii="Times New Roman" w:hAnsi="Times New Roman" w:cs="Times New Roman"/>
          <w:b/>
          <w:sz w:val="24"/>
          <w:szCs w:val="28"/>
        </w:rPr>
        <w:t xml:space="preserve">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общ</w:t>
      </w:r>
      <w:r>
        <w:rPr>
          <w:rFonts w:ascii="Times New Roman" w:hAnsi="Times New Roman" w:cs="Times New Roman"/>
          <w:b/>
          <w:sz w:val="24"/>
          <w:szCs w:val="28"/>
        </w:rPr>
        <w:t xml:space="preserve"> * 100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%, </w:t>
      </w:r>
      <w:r>
        <w:rPr>
          <w:rFonts w:ascii="Times New Roman" w:hAnsi="Times New Roman" w:cs="Times New Roman"/>
          <w:b/>
          <w:sz w:val="24"/>
          <w:szCs w:val="28"/>
        </w:rPr>
      </w:r>
      <w:r/>
    </w:p>
    <w:p>
      <w:pPr>
        <w:pStyle w:val="820"/>
        <w:ind w:left="0" w:firstLine="851"/>
        <w:jc w:val="both"/>
        <w:spacing w:lineRule="auto" w:line="264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где: 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2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–</w:t>
      </w:r>
      <w:r>
        <w:rPr>
          <w:rFonts w:ascii="Times New Roman" w:hAnsi="Times New Roman" w:cs="Times New Roman"/>
          <w:b/>
          <w:sz w:val="24"/>
          <w:szCs w:val="28"/>
        </w:rPr>
        <w:t xml:space="preserve"> количество решений, выданных предписаний, а также иных ненормативных правовых актов, принятых в предыдущих отчетных периодах по результатам рассмотрения жалоб, проведения контрольных (надзорных) </w:t>
      </w:r>
      <w:r>
        <w:rPr>
          <w:rFonts w:ascii="Times New Roman" w:hAnsi="Times New Roman" w:cs="Times New Roman"/>
          <w:b/>
          <w:sz w:val="24"/>
          <w:szCs w:val="28"/>
        </w:rPr>
        <w:t xml:space="preserve">мероприятий, которые отменены частично или полностью на основании судебных актов, вступивших в законную силу в отчетном году;</w:t>
      </w:r>
      <w:r>
        <w:rPr>
          <w:rFonts w:ascii="Times New Roman" w:hAnsi="Times New Roman" w:cs="Times New Roman"/>
          <w:b/>
          <w:sz w:val="24"/>
          <w:szCs w:val="28"/>
        </w:rPr>
      </w:r>
      <w:r/>
    </w:p>
    <w:p>
      <w:pPr>
        <w:pStyle w:val="820"/>
        <w:ind w:left="0" w:firstLine="851"/>
        <w:jc w:val="both"/>
        <w:spacing w:lineRule="auto" w:line="264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общ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–</w:t>
      </w:r>
      <w:r>
        <w:rPr>
          <w:rFonts w:ascii="Times New Roman" w:hAnsi="Times New Roman" w:cs="Times New Roman"/>
          <w:b/>
          <w:sz w:val="24"/>
          <w:szCs w:val="28"/>
        </w:rPr>
        <w:t xml:space="preserve"> общее количество решений, выданных предписаний, а также иных ненормативных правовых актов, принятых в предыдущих отчетных периодах. </w:t>
      </w:r>
      <w:r>
        <w:rPr>
          <w:rFonts w:ascii="Times New Roman" w:hAnsi="Times New Roman" w:cs="Times New Roman"/>
          <w:b/>
          <w:sz w:val="24"/>
          <w:szCs w:val="28"/>
        </w:rPr>
      </w:r>
      <w:r/>
    </w:p>
    <w:p>
      <w:pPr>
        <w:pStyle w:val="820"/>
        <w:numPr>
          <w:ilvl w:val="1"/>
          <w:numId w:val="2"/>
        </w:numPr>
        <w:ind w:left="0" w:firstLine="851"/>
        <w:jc w:val="both"/>
        <w:spacing w:lineRule="auto" w:line="264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Анализ</w:t>
      </w:r>
      <w:r>
        <w:rPr>
          <w:rFonts w:ascii="Times New Roman" w:hAnsi="Times New Roman" w:cs="Times New Roman"/>
          <w:b/>
          <w:sz w:val="24"/>
          <w:szCs w:val="28"/>
        </w:rPr>
        <w:t xml:space="preserve"> достижения</w:t>
      </w:r>
      <w:r>
        <w:rPr>
          <w:rFonts w:ascii="Times New Roman" w:hAnsi="Times New Roman" w:cs="Times New Roman"/>
          <w:b/>
          <w:sz w:val="24"/>
          <w:szCs w:val="28"/>
        </w:rPr>
        <w:t xml:space="preserve"> ключевых показателей осуществляется в докладе о виде контроля, подготавливаемом по итогам календарного года.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pStyle w:val="820"/>
        <w:numPr>
          <w:ilvl w:val="0"/>
          <w:numId w:val="1"/>
        </w:numPr>
        <w:ind w:left="0" w:right="0" w:firstLine="850"/>
        <w:jc w:val="both"/>
        <w:spacing w:lineRule="auto" w:line="264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 </w:t>
      </w:r>
      <w:r>
        <w:rPr>
          <w:rStyle w:val="825"/>
          <w:rFonts w:ascii="Times New Roman" w:hAnsi="Times New Roman" w:cs="Times New Roman" w:eastAsia="Times New Roman"/>
          <w:b/>
          <w:bCs/>
          <w:color w:val="000000"/>
          <w:sz w:val="24"/>
        </w:rPr>
        <w:t xml:space="preserve">Контроль за исполнением настоящего Решения возложить на </w:t>
      </w:r>
      <w:r>
        <w:rPr>
          <w:rStyle w:val="826"/>
          <w:rFonts w:ascii="Times New Roman" w:hAnsi="Times New Roman" w:cs="Times New Roman" w:eastAsia="Times New Roman"/>
          <w:b/>
          <w:bCs/>
          <w:color w:val="000000"/>
          <w:sz w:val="24"/>
        </w:rPr>
        <w:t xml:space="preserve">постоянную комиссию по вопросам жилищно-коммунального хозяйства, строительства и благоустройства (А.В. </w:t>
      </w:r>
      <w:r>
        <w:rPr>
          <w:rStyle w:val="826"/>
          <w:rFonts w:ascii="Times New Roman" w:hAnsi="Times New Roman" w:cs="Times New Roman" w:eastAsia="Times New Roman"/>
          <w:b/>
          <w:bCs/>
          <w:color w:val="000000"/>
          <w:sz w:val="24"/>
        </w:rPr>
        <w:t xml:space="preserve">Мойса</w:t>
      </w:r>
      <w:r>
        <w:rPr>
          <w:rStyle w:val="826"/>
          <w:rFonts w:ascii="Times New Roman" w:hAnsi="Times New Roman" w:cs="Times New Roman" w:eastAsia="Times New Roman"/>
          <w:b/>
          <w:bCs/>
          <w:color w:val="000000"/>
          <w:sz w:val="24"/>
        </w:rPr>
        <w:t xml:space="preserve">).</w:t>
      </w:r>
      <w:r>
        <w:rPr>
          <w:rStyle w:val="825"/>
          <w:rFonts w:ascii="Times New Roman" w:hAnsi="Times New Roman" w:cs="Times New Roman" w:eastAsia="Times New Roman"/>
          <w:b/>
          <w:bCs/>
          <w:color w:val="000000"/>
          <w:sz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pStyle w:val="820"/>
        <w:numPr>
          <w:ilvl w:val="0"/>
          <w:numId w:val="1"/>
        </w:numPr>
        <w:ind w:left="0" w:right="0" w:firstLine="850"/>
        <w:jc w:val="both"/>
        <w:spacing w:lineRule="auto" w:line="264"/>
        <w:tabs>
          <w:tab w:val="left" w:pos="1417" w:leader="none"/>
        </w:tabs>
        <w:rPr>
          <w:rFonts w:ascii="Times New Roman" w:hAnsi="Times New Roman" w:cs="Times New Roman" w:eastAsia="Times New Roman"/>
        </w:rPr>
      </w:pPr>
      <w:r>
        <w:rPr>
          <w:rStyle w:val="825"/>
          <w:rFonts w:ascii="Times New Roman" w:hAnsi="Times New Roman" w:cs="Times New Roman" w:eastAsia="Times New Roman"/>
          <w:b/>
          <w:bCs/>
          <w:color w:val="000000"/>
          <w:sz w:val="24"/>
          <w:highlight w:val="none"/>
        </w:rPr>
      </w:r>
      <w:r>
        <w:rPr>
          <w:rFonts w:ascii="Times New Roman" w:hAnsi="Times New Roman" w:cs="Times New Roman" w:eastAsia="Calibri"/>
          <w:b/>
          <w:sz w:val="24"/>
          <w:szCs w:val="24"/>
        </w:rPr>
        <w:t xml:space="preserve">Опубликовать настоящее Решение в газете «Вестник Светлогорска» и разместить в информационно-телекоммуникационной сети Интернет на сайте </w:t>
      </w:r>
      <w:hyperlink r:id="rId10" w:tooltip="http://www.svetlogorsk39.ru" w:history="1">
        <w:r>
          <w:rPr>
            <w:rStyle w:val="798"/>
            <w:rFonts w:ascii="Times New Roman" w:hAnsi="Times New Roman" w:cs="Times New Roman" w:eastAsia="Calibri"/>
            <w:b/>
            <w:color w:val="auto"/>
            <w:sz w:val="24"/>
            <w:szCs w:val="24"/>
            <w:u w:val="none"/>
          </w:rPr>
          <w:t xml:space="preserve">www.svetlogorsk39.ru</w:t>
        </w:r>
      </w:hyperlink>
      <w:r>
        <w:rPr>
          <w:rFonts w:ascii="Times New Roman" w:hAnsi="Times New Roman" w:cs="Times New Roman" w:eastAsia="Calibri"/>
          <w:b/>
          <w:sz w:val="24"/>
          <w:szCs w:val="24"/>
        </w:rPr>
        <w:t xml:space="preserve">.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pStyle w:val="820"/>
        <w:numPr>
          <w:ilvl w:val="0"/>
          <w:numId w:val="1"/>
        </w:numPr>
        <w:ind w:left="0" w:right="0" w:firstLine="850"/>
        <w:jc w:val="both"/>
        <w:spacing w:lineRule="auto" w:line="264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Calibri"/>
          <w:b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Calibri"/>
          <w:b/>
          <w:sz w:val="24"/>
          <w:szCs w:val="24"/>
        </w:rPr>
        <w:t xml:space="preserve">Решение вступает в силу после его официального опубликования.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ind w:left="850" w:right="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4"/>
        </w:rPr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ind w:left="850" w:right="0" w:firstLine="0"/>
        <w:jc w:val="both"/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ind w:left="850" w:right="0" w:firstLine="0"/>
        <w:jc w:val="both"/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</w:t>
      </w:r>
      <w:r>
        <w:rPr>
          <w:rFonts w:ascii="Times New Roman" w:hAnsi="Times New Roman" w:cs="Times New Roman" w:eastAsia="Times New Roman"/>
          <w:lang w:eastAsia="ar-SA"/>
        </w:rPr>
      </w:r>
      <w:r/>
    </w:p>
    <w:p>
      <w:pPr>
        <w:spacing w:lineRule="auto" w:line="240" w:after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«Светлогорский городской округ»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А.В. Мохнов</w:t>
      </w:r>
      <w:r>
        <w:rPr>
          <w:rFonts w:ascii="Times New Roman" w:hAnsi="Times New Roman" w:cs="Times New Roman"/>
          <w:lang w:eastAsia="ar-SA"/>
        </w:rPr>
      </w:r>
      <w:r/>
    </w:p>
    <w:p>
      <w:pPr>
        <w:ind w:left="850" w:right="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Calibri"/>
          <w:b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ind w:left="850" w:right="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  <w:rPr>
        <w:b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4832" w:hanging="720"/>
      </w:pPr>
      <w:rPr>
        <w:rFonts w:hint="default"/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isLgl w:val="false"/>
      <w:suff w:val="tab"/>
      <w:lvlText w:val="%1)"/>
      <w:lvlJc w:val="left"/>
      <w:pPr/>
      <w:rPr>
        <w:rFonts w:hint="default"/>
        <w:b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6"/>
    <w:next w:val="816"/>
    <w:link w:val="6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1">
    <w:name w:val="Heading 1 Char"/>
    <w:link w:val="640"/>
    <w:uiPriority w:val="9"/>
    <w:rPr>
      <w:rFonts w:ascii="Arial" w:hAnsi="Arial" w:cs="Arial" w:eastAsia="Arial"/>
      <w:sz w:val="40"/>
      <w:szCs w:val="40"/>
    </w:rPr>
  </w:style>
  <w:style w:type="paragraph" w:styleId="642">
    <w:name w:val="Heading 2"/>
    <w:basedOn w:val="816"/>
    <w:next w:val="816"/>
    <w:link w:val="6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3">
    <w:name w:val="Heading 2 Char"/>
    <w:link w:val="642"/>
    <w:uiPriority w:val="9"/>
    <w:rPr>
      <w:rFonts w:ascii="Arial" w:hAnsi="Arial" w:cs="Arial" w:eastAsia="Arial"/>
      <w:sz w:val="34"/>
    </w:rPr>
  </w:style>
  <w:style w:type="paragraph" w:styleId="644">
    <w:name w:val="Heading 3"/>
    <w:basedOn w:val="816"/>
    <w:next w:val="816"/>
    <w:link w:val="6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5">
    <w:name w:val="Heading 3 Char"/>
    <w:link w:val="644"/>
    <w:uiPriority w:val="9"/>
    <w:rPr>
      <w:rFonts w:ascii="Arial" w:hAnsi="Arial" w:cs="Arial" w:eastAsia="Arial"/>
      <w:sz w:val="30"/>
      <w:szCs w:val="30"/>
    </w:rPr>
  </w:style>
  <w:style w:type="paragraph" w:styleId="646">
    <w:name w:val="Heading 4"/>
    <w:basedOn w:val="816"/>
    <w:next w:val="816"/>
    <w:link w:val="6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7">
    <w:name w:val="Heading 4 Char"/>
    <w:link w:val="646"/>
    <w:uiPriority w:val="9"/>
    <w:rPr>
      <w:rFonts w:ascii="Arial" w:hAnsi="Arial" w:cs="Arial" w:eastAsia="Arial"/>
      <w:b/>
      <w:bCs/>
      <w:sz w:val="26"/>
      <w:szCs w:val="26"/>
    </w:rPr>
  </w:style>
  <w:style w:type="paragraph" w:styleId="648">
    <w:name w:val="Heading 5"/>
    <w:basedOn w:val="816"/>
    <w:next w:val="816"/>
    <w:link w:val="6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9">
    <w:name w:val="Heading 5 Char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650">
    <w:name w:val="Heading 6"/>
    <w:basedOn w:val="816"/>
    <w:next w:val="816"/>
    <w:link w:val="6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1">
    <w:name w:val="Heading 6 Char"/>
    <w:link w:val="65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>
    <w:name w:val="Heading 7"/>
    <w:basedOn w:val="816"/>
    <w:next w:val="816"/>
    <w:link w:val="6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3">
    <w:name w:val="Heading 7 Char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>
    <w:name w:val="Heading 8"/>
    <w:basedOn w:val="816"/>
    <w:next w:val="816"/>
    <w:link w:val="6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5">
    <w:name w:val="Heading 8 Char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>
    <w:name w:val="Heading 9"/>
    <w:basedOn w:val="816"/>
    <w:next w:val="816"/>
    <w:link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7">
    <w:name w:val="Heading 9 Char"/>
    <w:link w:val="656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Title"/>
    <w:basedOn w:val="816"/>
    <w:next w:val="816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>
    <w:name w:val="Title Char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>
    <w:name w:val="Subtitle Char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qFormat/>
    <w:uiPriority w:val="29"/>
    <w:rPr>
      <w:i/>
    </w:rPr>
    <w:pPr>
      <w:ind w:left="720" w:right="720"/>
    </w:p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Header Char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Footer Char"/>
    <w:link w:val="668"/>
    <w:uiPriority w:val="99"/>
  </w:style>
  <w:style w:type="paragraph" w:styleId="670">
    <w:name w:val="Caption"/>
    <w:basedOn w:val="816"/>
    <w:next w:val="8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4 - Accent 1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2">
    <w:name w:val="Grid Table 4 - Accent 2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3">
    <w:name w:val="Grid Table 4 - Accent 3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4">
    <w:name w:val="Grid Table 4 - Accent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5">
    <w:name w:val="Grid Table 4 - Accent 5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6">
    <w:name w:val="Grid Table 4 - Accent 6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7">
    <w:name w:val="Grid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4">
    <w:name w:val="Grid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6">
    <w:name w:val="List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7">
    <w:name w:val="List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8">
    <w:name w:val="List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9">
    <w:name w:val="List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0">
    <w:name w:val="List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1">
    <w:name w:val="List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2">
    <w:name w:val="List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4">
    <w:name w:val="List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5">
    <w:name w:val="List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List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7">
    <w:name w:val="List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List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9">
    <w:name w:val="List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0">
    <w:name w:val="List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2">
    <w:name w:val="List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3">
    <w:name w:val="List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4">
    <w:name w:val="List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5">
    <w:name w:val="List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6">
    <w:name w:val="List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7">
    <w:name w:val="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8">
    <w:name w:val="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9">
    <w:name w:val="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0">
    <w:name w:val="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1">
    <w:name w:val="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2">
    <w:name w:val="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3">
    <w:name w:val="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4">
    <w:name w:val="Bordered &amp; 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5">
    <w:name w:val="Bordered &amp; 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6">
    <w:name w:val="Bordered &amp; 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7">
    <w:name w:val="Bordered &amp; 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8">
    <w:name w:val="Bordered &amp; 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9">
    <w:name w:val="Bordered &amp; 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0">
    <w:name w:val="Bordered &amp; 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1">
    <w:name w:val="Bordered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2">
    <w:name w:val="Bordered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3">
    <w:name w:val="Bordered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4">
    <w:name w:val="Bordered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5">
    <w:name w:val="Bordered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6">
    <w:name w:val="Bordered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7">
    <w:name w:val="Bordered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rPr>
      <w:sz w:val="20"/>
    </w:rPr>
    <w:pPr>
      <w:spacing w:lineRule="auto" w:line="240" w:after="0"/>
    </w:p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</w:style>
  <w:style w:type="table" w:styleId="8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>
    <w:name w:val="No Spacing"/>
    <w:basedOn w:val="816"/>
    <w:qFormat/>
    <w:uiPriority w:val="1"/>
    <w:pPr>
      <w:spacing w:lineRule="auto" w:line="240" w:after="0"/>
    </w:pPr>
  </w:style>
  <w:style w:type="paragraph" w:styleId="820">
    <w:name w:val="List Paragraph"/>
    <w:basedOn w:val="816"/>
    <w:qFormat/>
    <w:uiPriority w:val="34"/>
    <w:pPr>
      <w:contextualSpacing w:val="true"/>
      <w:ind w:left="720"/>
    </w:pPr>
  </w:style>
  <w:style w:type="character" w:styleId="821" w:default="1">
    <w:name w:val="Default Paragraph Font"/>
    <w:uiPriority w:val="1"/>
    <w:semiHidden/>
    <w:unhideWhenUsed/>
  </w:style>
  <w:style w:type="character" w:styleId="822" w:customStyle="1">
    <w:name w:val="pt-a1-000004"/>
  </w:style>
  <w:style w:type="character" w:styleId="823" w:customStyle="1">
    <w:name w:val="pt-000006"/>
  </w:style>
  <w:style w:type="character" w:styleId="824" w:customStyle="1">
    <w:name w:val="pt-a1-000007"/>
  </w:style>
  <w:style w:type="character" w:styleId="825" w:customStyle="1">
    <w:name w:val="pt-000013"/>
  </w:style>
  <w:style w:type="character" w:styleId="826" w:customStyle="1">
    <w:name w:val="pt-a1"/>
  </w:style>
  <w:style w:type="paragraph" w:styleId="827" w:customStyle="1">
    <w:name w:val="pt-a-000003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8" w:customStyle="1">
    <w:name w:val="pt-a-000008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9" w:customStyle="1">
    <w:name w:val="pt-a-00000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://www.svetlogorsk39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modified xsi:type="dcterms:W3CDTF">2022-02-03T08:22:04Z</dcterms:modified>
</cp:coreProperties>
</file>