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E727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314A78D1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9C5DE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5EF68AB4" w14:textId="5DD36829" w:rsidR="0029234F" w:rsidRPr="00E61E27" w:rsidRDefault="00A65F58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6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33F41B" w14:textId="77777777" w:rsidR="00122F61" w:rsidRPr="00E61E27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F8243" w14:textId="2E75538C" w:rsidR="00A65F58" w:rsidRPr="00E7696F" w:rsidRDefault="00745E71" w:rsidP="00A65F5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F58" w:rsidRPr="00A65F58">
        <w:rPr>
          <w:rFonts w:ascii="Times New Roman" w:hAnsi="Times New Roman" w:cs="Times New Roman"/>
          <w:bCs/>
          <w:sz w:val="24"/>
          <w:szCs w:val="24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</w:t>
      </w:r>
      <w:r w:rsidR="00A65F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746F68" w14:textId="4CC3633C" w:rsidR="00E86917" w:rsidRPr="00E86917" w:rsidRDefault="00E7696F" w:rsidP="00E86917">
      <w:pPr>
        <w:pStyle w:val="Default"/>
        <w:ind w:firstLine="567"/>
        <w:jc w:val="both"/>
        <w:rPr>
          <w:color w:val="444444"/>
          <w:shd w:val="clear" w:color="auto" w:fill="FFFFFF"/>
        </w:rPr>
      </w:pPr>
      <w:r w:rsidRPr="0014270E">
        <w:rPr>
          <w:color w:val="auto"/>
          <w:shd w:val="clear" w:color="auto" w:fill="FFFFFF"/>
        </w:rPr>
        <w:t xml:space="preserve">Актуальность разработки муниципальной программы определяется необходимостью </w:t>
      </w:r>
      <w:r w:rsidR="00A65F58">
        <w:rPr>
          <w:color w:val="auto"/>
          <w:shd w:val="clear" w:color="auto" w:fill="FFFFFF"/>
        </w:rPr>
        <w:t>благоустройства территории</w:t>
      </w:r>
      <w:r w:rsidRPr="0014270E">
        <w:rPr>
          <w:color w:val="auto"/>
          <w:shd w:val="clear" w:color="auto" w:fill="FFFFFF"/>
        </w:rPr>
        <w:t xml:space="preserve"> Светлогорск</w:t>
      </w:r>
      <w:r w:rsidR="00A65F58">
        <w:rPr>
          <w:color w:val="auto"/>
          <w:shd w:val="clear" w:color="auto" w:fill="FFFFFF"/>
        </w:rPr>
        <w:t>ого</w:t>
      </w:r>
      <w:r w:rsidRPr="0014270E">
        <w:rPr>
          <w:color w:val="auto"/>
          <w:shd w:val="clear" w:color="auto" w:fill="FFFFFF"/>
        </w:rPr>
        <w:t xml:space="preserve"> городск</w:t>
      </w:r>
      <w:r w:rsidR="00A65F58">
        <w:rPr>
          <w:color w:val="auto"/>
          <w:shd w:val="clear" w:color="auto" w:fill="FFFFFF"/>
        </w:rPr>
        <w:t>ого</w:t>
      </w:r>
      <w:r w:rsidRPr="0014270E">
        <w:rPr>
          <w:color w:val="auto"/>
          <w:shd w:val="clear" w:color="auto" w:fill="FFFFFF"/>
        </w:rPr>
        <w:t xml:space="preserve"> округ</w:t>
      </w:r>
      <w:r w:rsidR="00A65F58">
        <w:rPr>
          <w:color w:val="auto"/>
          <w:shd w:val="clear" w:color="auto" w:fill="FFFFFF"/>
        </w:rPr>
        <w:t>а</w:t>
      </w:r>
      <w:r w:rsidRPr="0014270E">
        <w:rPr>
          <w:color w:val="auto"/>
          <w:shd w:val="clear" w:color="auto" w:fill="FFFFFF"/>
        </w:rPr>
        <w:t>.</w:t>
      </w:r>
      <w:r w:rsidRPr="0014270E">
        <w:rPr>
          <w:color w:val="444444"/>
          <w:shd w:val="clear" w:color="auto" w:fill="FFFFFF"/>
        </w:rPr>
        <w:t xml:space="preserve"> </w:t>
      </w:r>
      <w:r w:rsidR="00E86917" w:rsidRPr="00E86917">
        <w:rPr>
          <w:color w:val="0D0D0D" w:themeColor="text1" w:themeTint="F2"/>
          <w:shd w:val="clear" w:color="auto" w:fill="FFFFFF"/>
        </w:rPr>
        <w:t xml:space="preserve">Проведение мероприятий, связанных </w:t>
      </w:r>
      <w:r w:rsidR="00E86917" w:rsidRPr="00E86917">
        <w:rPr>
          <w:color w:val="0D0D0D" w:themeColor="text1" w:themeTint="F2"/>
          <w:shd w:val="clear" w:color="auto" w:fill="FFFFFF"/>
        </w:rPr>
        <w:t>с благоустройством,</w:t>
      </w:r>
      <w:r w:rsidR="00E86917" w:rsidRPr="00E86917">
        <w:rPr>
          <w:color w:val="0D0D0D" w:themeColor="text1" w:themeTint="F2"/>
          <w:shd w:val="clear" w:color="auto" w:fill="FFFFFF"/>
        </w:rPr>
        <w:t xml:space="preserve"> является</w:t>
      </w:r>
      <w:r w:rsidR="00E86917">
        <w:rPr>
          <w:color w:val="444444"/>
          <w:shd w:val="clear" w:color="auto" w:fill="FFFFFF"/>
        </w:rPr>
        <w:t xml:space="preserve"> </w:t>
      </w:r>
      <w:r w:rsidR="00E86917" w:rsidRPr="00E86917">
        <w:rPr>
          <w:color w:val="0D0D0D" w:themeColor="text1" w:themeTint="F2"/>
          <w:shd w:val="clear" w:color="auto" w:fill="FFFFFF"/>
        </w:rPr>
        <w:t xml:space="preserve">неотъемлемым фактором развития муниципального образования. </w:t>
      </w:r>
    </w:p>
    <w:p w14:paraId="74D38E62" w14:textId="77777777" w:rsidR="00E86917" w:rsidRDefault="00E86917" w:rsidP="00E86917">
      <w:pPr>
        <w:pStyle w:val="Default"/>
        <w:ind w:firstLine="567"/>
        <w:jc w:val="both"/>
        <w:rPr>
          <w:color w:val="auto"/>
        </w:rPr>
      </w:pPr>
      <w:r w:rsidRPr="00E86917">
        <w:rPr>
          <w:color w:val="auto"/>
        </w:rPr>
        <w:t xml:space="preserve">Благоустройство территорий муниципального образования Светлогорского городского округа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</w:t>
      </w:r>
    </w:p>
    <w:p w14:paraId="05DF72D3" w14:textId="3DAEC54A" w:rsidR="00E86917" w:rsidRDefault="0014270E" w:rsidP="00E86917">
      <w:pPr>
        <w:pStyle w:val="Default"/>
        <w:ind w:firstLine="567"/>
        <w:jc w:val="both"/>
      </w:pPr>
      <w:r w:rsidRPr="0014270E">
        <w:t xml:space="preserve">В основу Программы положены следующие основные </w:t>
      </w:r>
      <w:r w:rsidR="00E86917">
        <w:t>мероприятия направлены на:</w:t>
      </w:r>
    </w:p>
    <w:p w14:paraId="77CA5EC8" w14:textId="29E0028B" w:rsidR="00E86917" w:rsidRDefault="00E86917" w:rsidP="00E86917">
      <w:pPr>
        <w:pStyle w:val="Default"/>
        <w:ind w:firstLine="567"/>
        <w:jc w:val="both"/>
      </w:pPr>
      <w:r>
        <w:t>- повышени</w:t>
      </w:r>
      <w:r>
        <w:t>е</w:t>
      </w:r>
      <w:r>
        <w:t xml:space="preserve"> уровня развития и безопасности среды в местах проживания и временного пребывания на территории Светлогорского городского округа;</w:t>
      </w:r>
    </w:p>
    <w:p w14:paraId="29A31E69" w14:textId="34ED4F48" w:rsidR="00E86917" w:rsidRDefault="00E86917" w:rsidP="00E86917">
      <w:pPr>
        <w:pStyle w:val="Default"/>
        <w:ind w:firstLine="567"/>
        <w:jc w:val="both"/>
      </w:pPr>
      <w:r>
        <w:t>- повышени</w:t>
      </w:r>
      <w:r>
        <w:t>е</w:t>
      </w:r>
      <w:r>
        <w:t xml:space="preserve"> привлекательности в качестве рекреационной зоны;</w:t>
      </w:r>
    </w:p>
    <w:p w14:paraId="71D27071" w14:textId="75417B37" w:rsidR="00E86917" w:rsidRDefault="00E86917" w:rsidP="00E86917">
      <w:pPr>
        <w:pStyle w:val="Default"/>
        <w:ind w:firstLine="567"/>
        <w:jc w:val="both"/>
      </w:pPr>
      <w:r>
        <w:t>- повышени</w:t>
      </w:r>
      <w:r>
        <w:t xml:space="preserve">е </w:t>
      </w:r>
      <w:r>
        <w:t xml:space="preserve">уровня комфортности и чистоты на территории городского округа;  </w:t>
      </w:r>
    </w:p>
    <w:p w14:paraId="04F2484D" w14:textId="703AB7F1" w:rsidR="00E86917" w:rsidRDefault="00E86917" w:rsidP="00E86917">
      <w:pPr>
        <w:pStyle w:val="Default"/>
        <w:ind w:firstLine="567"/>
        <w:jc w:val="both"/>
      </w:pPr>
      <w:r>
        <w:t>- устойчиво</w:t>
      </w:r>
      <w:r>
        <w:t>е</w:t>
      </w:r>
      <w:r>
        <w:t xml:space="preserve"> и эффективн</w:t>
      </w:r>
      <w:r>
        <w:t>ое</w:t>
      </w:r>
      <w:r>
        <w:t xml:space="preserve"> функционирования объектов благоустройства и транспортной инфраструктуры, расположенных на территории городского округа.</w:t>
      </w:r>
    </w:p>
    <w:p w14:paraId="34FACCA1" w14:textId="77777777" w:rsidR="00E86917" w:rsidRPr="00E86917" w:rsidRDefault="0014270E" w:rsidP="00E86917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14270E">
        <w:rPr>
          <w:rFonts w:ascii="Times New Roman" w:hAnsi="Times New Roman" w:cs="Times New Roman"/>
          <w:sz w:val="24"/>
          <w:szCs w:val="24"/>
        </w:rPr>
        <w:t xml:space="preserve">Основная цель Программы – </w:t>
      </w:r>
      <w:r w:rsidR="00E86917" w:rsidRPr="00E86917">
        <w:rPr>
          <w:rFonts w:ascii="Times New Roman" w:hAnsi="Times New Roman" w:cs="Times New Roman"/>
          <w:sz w:val="24"/>
          <w:szCs w:val="24"/>
        </w:rPr>
        <w:t>увеличение доли благоустроенных территорий, соответствующих санитарным нормативам по содержанию территорий муниципального образования «Светлогорский городской округ».</w:t>
      </w:r>
    </w:p>
    <w:p w14:paraId="14891967" w14:textId="77777777" w:rsidR="00E86917" w:rsidRPr="00E86917" w:rsidRDefault="00E86917" w:rsidP="00E86917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E86917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осуществляется на основе решения следующих задач: </w:t>
      </w:r>
    </w:p>
    <w:p w14:paraId="6AA040E2" w14:textId="2C175B92" w:rsidR="00E86917" w:rsidRPr="00E86917" w:rsidRDefault="00E86917" w:rsidP="00E86917">
      <w:pPr>
        <w:pStyle w:val="ConsPlusNormal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86917">
        <w:rPr>
          <w:rFonts w:ascii="Times New Roman" w:hAnsi="Times New Roman" w:cs="Times New Roman"/>
          <w:sz w:val="24"/>
          <w:szCs w:val="24"/>
        </w:rPr>
        <w:t xml:space="preserve">увеличение площади благоустроенных территорий, в том числе и многоквартирных домов Светлогорского городского округа; </w:t>
      </w:r>
    </w:p>
    <w:p w14:paraId="20E60E59" w14:textId="1720C696" w:rsidR="00E86917" w:rsidRPr="00E86917" w:rsidRDefault="00E86917" w:rsidP="00E86917">
      <w:pPr>
        <w:pStyle w:val="ConsPlusNormal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86917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улучшение санитарного состояния, оздоровление санитарной экологической обстановки на свободных территориях МО, ликвидация скоплений несанкционированных свалок ТКО, приведение в качественное состояние элементов благоустройства и т.п.</w:t>
      </w:r>
    </w:p>
    <w:p w14:paraId="262407F0" w14:textId="5F6F1419" w:rsidR="00E86917" w:rsidRDefault="00E86917" w:rsidP="00E86917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917">
        <w:rPr>
          <w:rFonts w:ascii="Times New Roman" w:hAnsi="Times New Roman" w:cs="Times New Roman"/>
          <w:sz w:val="24"/>
          <w:szCs w:val="24"/>
        </w:rPr>
        <w:t>повышение уровня доли увеличение качественных, энергоэффективных сетей уличного освещения для содействия экономического и социального развития Светлогорского городского округа.</w:t>
      </w:r>
    </w:p>
    <w:p w14:paraId="7A988003" w14:textId="77777777" w:rsidR="00E86917" w:rsidRDefault="00E86917" w:rsidP="00E8691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2A2C75" w14:textId="4F513CDB" w:rsidR="0014270E" w:rsidRPr="0014270E" w:rsidRDefault="0014270E" w:rsidP="00E8691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70E">
        <w:rPr>
          <w:rFonts w:ascii="Times New Roman" w:hAnsi="Times New Roman" w:cs="Times New Roman"/>
          <w:sz w:val="24"/>
          <w:szCs w:val="24"/>
        </w:rPr>
        <w:t>Решение задачи по созданию конкурентоспособного туристского продукта и продвижению его на внутреннем туристском рынке предполагает проведение мероприятий по:</w:t>
      </w:r>
    </w:p>
    <w:p w14:paraId="7E35A5C7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системы комплексного благоустройства территории городского округа, его эстетического вида, создание гармоничной архитектурно-ландшафтной среды;</w:t>
      </w:r>
    </w:p>
    <w:p w14:paraId="6B25CDC2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уровня внешнего благоустройства и санитарного содержания территорий городского округа;</w:t>
      </w:r>
    </w:p>
    <w:p w14:paraId="24537F18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активизации работ по благоустройству территории городского округа в границах населенных пунктов;</w:t>
      </w:r>
    </w:p>
    <w:p w14:paraId="323F79B0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и поддержка инициатив жителей по благоустройству и санитарной очистке придомовых территорий и содержанию домашних животных;</w:t>
      </w:r>
    </w:p>
    <w:p w14:paraId="482C10BB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общего уровня благоустройства муниципального образования «Светлогорский городской округ»;</w:t>
      </w:r>
    </w:p>
    <w:p w14:paraId="5D8AADD3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городского округа;</w:t>
      </w:r>
    </w:p>
    <w:p w14:paraId="2C3B53F7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приведение в качественное состояние элементов благоустройства;</w:t>
      </w:r>
    </w:p>
    <w:p w14:paraId="7B10FC2D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привлечение жителей к участию в решении проблем благоустройства;</w:t>
      </w:r>
    </w:p>
    <w:p w14:paraId="55A73532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оздоровление санитарной экологической обстановки на свободных территориях, ликвидация скоплений безнадзорных животных;</w:t>
      </w:r>
    </w:p>
    <w:p w14:paraId="0AB099E8" w14:textId="77777777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оздоровление санитарной экологической обстановки в местах санкционированного размещения твердых коммунальных отходов (далее – ТКО)</w:t>
      </w:r>
    </w:p>
    <w:p w14:paraId="340D0B7C" w14:textId="6CD63263" w:rsidR="00E86917" w:rsidRPr="00E86917" w:rsidRDefault="00E86917" w:rsidP="00E86917">
      <w:pPr>
        <w:tabs>
          <w:tab w:val="left" w:pos="72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увеличения протяженности линий </w:t>
      </w:r>
      <w:r w:rsidR="00A6020C"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освещения,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нормативным требованиям по обеспечения надежности электроснабжения к показателям общей протяженности линий уличного освещения;</w:t>
      </w:r>
    </w:p>
    <w:p w14:paraId="0CFFFB06" w14:textId="737E6258" w:rsidR="00E7696F" w:rsidRPr="0014270E" w:rsidRDefault="00E86917" w:rsidP="00E86917">
      <w:pPr>
        <w:tabs>
          <w:tab w:val="left" w:pos="72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увеличения количества светильников, соответствующих нормативным требованиям по обеспечению освещенности территории муниципального образования «Светлогорский городской округ» к показателям общего количества светильников, установленных на линиях уличного освещения Светлогорского городского округа.</w:t>
      </w:r>
    </w:p>
    <w:p w14:paraId="534DC5F5" w14:textId="77777777" w:rsidR="0014270E" w:rsidRPr="0014270E" w:rsidRDefault="0014270E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69B02B5B" w14:textId="77777777" w:rsidR="0014270E" w:rsidRPr="0014270E" w:rsidRDefault="0014270E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67C3CB8" w14:textId="77777777" w:rsidR="0014270E" w:rsidRPr="0014270E" w:rsidRDefault="0014270E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7321F96" w14:textId="77777777" w:rsidR="0014270E" w:rsidRPr="0014270E" w:rsidRDefault="0014270E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8F26E92" w14:textId="77777777" w:rsidR="0014270E" w:rsidRPr="0014270E" w:rsidRDefault="0014270E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788AFE7" w14:textId="77777777" w:rsidR="0014270E" w:rsidRPr="0014270E" w:rsidRDefault="0014270E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1D11B17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E092A07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09E453B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2D2B77B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8D5DBBA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F5B33BA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8DC5983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862C27E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FCC35B1" w14:textId="77777777" w:rsidR="00E7696F" w:rsidRPr="0014270E" w:rsidRDefault="00E7696F" w:rsidP="00745E71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7696F" w:rsidRPr="0014270E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873CE"/>
    <w:multiLevelType w:val="hybridMultilevel"/>
    <w:tmpl w:val="DF3C976E"/>
    <w:lvl w:ilvl="0" w:tplc="E68C3D66">
      <w:start w:val="1"/>
      <w:numFmt w:val="bullet"/>
      <w:lvlText w:val="-"/>
      <w:lvlJc w:val="left"/>
      <w:pPr>
        <w:ind w:left="560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 w16cid:durableId="1038974421">
    <w:abstractNumId w:val="2"/>
  </w:num>
  <w:num w:numId="2" w16cid:durableId="287321427">
    <w:abstractNumId w:val="4"/>
  </w:num>
  <w:num w:numId="3" w16cid:durableId="317349857">
    <w:abstractNumId w:val="1"/>
  </w:num>
  <w:num w:numId="4" w16cid:durableId="121847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7850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680966">
    <w:abstractNumId w:val="0"/>
  </w:num>
  <w:num w:numId="7" w16cid:durableId="188443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7"/>
    <w:rsid w:val="00005242"/>
    <w:rsid w:val="00040429"/>
    <w:rsid w:val="000A510E"/>
    <w:rsid w:val="000D6977"/>
    <w:rsid w:val="000E0184"/>
    <w:rsid w:val="001017D4"/>
    <w:rsid w:val="00122F61"/>
    <w:rsid w:val="001426D7"/>
    <w:rsid w:val="0014270E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3318D5"/>
    <w:rsid w:val="0036446D"/>
    <w:rsid w:val="003737FC"/>
    <w:rsid w:val="003D4354"/>
    <w:rsid w:val="003F3E82"/>
    <w:rsid w:val="00454A1A"/>
    <w:rsid w:val="00472856"/>
    <w:rsid w:val="004C16D5"/>
    <w:rsid w:val="004E5025"/>
    <w:rsid w:val="0050687E"/>
    <w:rsid w:val="0055230D"/>
    <w:rsid w:val="0056257F"/>
    <w:rsid w:val="00576D85"/>
    <w:rsid w:val="005964A8"/>
    <w:rsid w:val="005B1FEF"/>
    <w:rsid w:val="005B4D00"/>
    <w:rsid w:val="00610395"/>
    <w:rsid w:val="006A5F49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61C84"/>
    <w:rsid w:val="008A598F"/>
    <w:rsid w:val="008F4F02"/>
    <w:rsid w:val="0094681A"/>
    <w:rsid w:val="00947C08"/>
    <w:rsid w:val="00984011"/>
    <w:rsid w:val="009C5A58"/>
    <w:rsid w:val="009F4210"/>
    <w:rsid w:val="00A202A3"/>
    <w:rsid w:val="00A354AE"/>
    <w:rsid w:val="00A6020C"/>
    <w:rsid w:val="00A65F58"/>
    <w:rsid w:val="00A67EAF"/>
    <w:rsid w:val="00AC5F8E"/>
    <w:rsid w:val="00AD3B54"/>
    <w:rsid w:val="00AF6F17"/>
    <w:rsid w:val="00B538D9"/>
    <w:rsid w:val="00BB5A48"/>
    <w:rsid w:val="00C512E5"/>
    <w:rsid w:val="00C66FB2"/>
    <w:rsid w:val="00CD3F33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E86917"/>
    <w:rsid w:val="00F11E90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80A"/>
  <w15:docId w15:val="{AF976674-9BCF-4ACC-A533-7965177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Диана Налбандян</cp:lastModifiedBy>
  <cp:revision>3</cp:revision>
  <cp:lastPrinted>2023-10-27T09:52:00Z</cp:lastPrinted>
  <dcterms:created xsi:type="dcterms:W3CDTF">2023-10-31T11:29:00Z</dcterms:created>
  <dcterms:modified xsi:type="dcterms:W3CDTF">2023-10-31T11:29:00Z</dcterms:modified>
</cp:coreProperties>
</file>