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Перечень нормативно правовых актов содержащих обязательные требования, оценка соблюдение которых является предметом муниципального контроля в области охраны и использования особо охраняемых природных территорий </w:t>
      </w:r>
      <w:r/>
    </w:p>
    <w:tbl>
      <w:tblPr>
        <w:tblStyle w:val="666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0"/>
        <w:gridCol w:w="3543"/>
        <w:gridCol w:w="4536"/>
        <w:gridCol w:w="7370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№ п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Нормативно правовой акт, содержащий обязательные требования, оценка соблюдения которых является предметом контроля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Содержание структурных единиц нормативного правового акта, содержащие обязательные требования, оценка соблюдения которых  является предметом контроля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73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</w:tr>
      <w:tr>
        <w:trPr>
          <w:trHeight w:val="1205"/>
        </w:trPr>
        <w:tc>
          <w:tcPr>
            <w:gridSpan w:val="2"/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части 2,3 статьи 36 Федерального закона от 14.03.1995 N 33-ФЗ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"Об особо охраняемых природных территориях"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36. Ответственность за нарушение режима особо охраняемых природных территорий: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 Законодательством Российской Федерации устанавливается уголовная ответственность за нарушение режима особо охраняемых природных территорий.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ческим затратам на их восстановление.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262. Нарушение режима особо охраняемых природных территорий и природных объектов Уголовного кодекса Российской Федерации: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Нарушение режима заповедников, заказников, национальных парков, памятников природы и других особо охраняемых государством природных территорий, повлекшее причинение значительного ущерба,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лишением права занимать определенные должности или заниматься определенной деятельностью на срок до 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рех лет, либо обязательными работами на срок до четырехсот восьмидесяти часов, либо исправительными работами на срок до двух лет.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8.39. "Нарушение правил охраны и использования природных ресурсов на особо охраняемых природных территориях" Кодекса Российской Федерации об административных правонарушениях: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иториях, на которых находятся памятники природы, на иных особо охраняемых природных территориях либо в их охранных зонах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tabs>
                <w:tab w:val="right" w:pos="7154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 административного правонарушения и продукции незаконного природопользования или без таковой.</w:t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120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</w:r>
            <w:r/>
          </w:p>
        </w:tc>
        <w:tc>
          <w:tcPr>
            <w:gridSpan w:val="2"/>
            <w:tcW w:w="354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статья 23 Закона Калининградской области от 01.03.2016 N 513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"Об особо охраняемых природных территориях"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Статья 23. Ответственность за нарушение законодательства об особо охраняемых природных территориях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Нарушение законодательства об особо охраняемых природных территориях влечет ответственность в соответствии с действующим законодательством Российской Федерации.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7370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2022-01-31T07:04:39Z</dcterms:modified>
</cp:coreProperties>
</file>