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4AF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57DF2F3D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79A35" w14:textId="4F39778B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>постановления «</w:t>
      </w:r>
      <w:r w:rsidR="00A37D9C">
        <w:rPr>
          <w:rFonts w:ascii="Times New Roman" w:hAnsi="Times New Roman" w:cs="Times New Roman"/>
          <w:b/>
          <w:sz w:val="24"/>
          <w:szCs w:val="24"/>
        </w:rPr>
        <w:t>О бюджетном прогнозе Светлогорского городского округа на долгосрочный период до 2029 года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>»</w:t>
      </w:r>
    </w:p>
    <w:p w14:paraId="23438B0B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A6DC1" w14:textId="135EF187" w:rsidR="00E7696F" w:rsidRDefault="00745E71" w:rsidP="00E7696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</w:t>
      </w:r>
      <w:r w:rsidR="00A37D9C">
        <w:rPr>
          <w:rFonts w:ascii="Times New Roman" w:hAnsi="Times New Roman" w:cs="Times New Roman"/>
          <w:sz w:val="24"/>
          <w:szCs w:val="24"/>
        </w:rPr>
        <w:t>04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</w:t>
      </w:r>
      <w:r w:rsidR="00A37D9C">
        <w:rPr>
          <w:rFonts w:ascii="Times New Roman" w:hAnsi="Times New Roman" w:cs="Times New Roman"/>
          <w:sz w:val="24"/>
          <w:szCs w:val="24"/>
        </w:rPr>
        <w:t>октября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20</w:t>
      </w:r>
      <w:r w:rsidR="00A37D9C">
        <w:rPr>
          <w:rFonts w:ascii="Times New Roman" w:hAnsi="Times New Roman" w:cs="Times New Roman"/>
          <w:sz w:val="24"/>
          <w:szCs w:val="24"/>
        </w:rPr>
        <w:t>21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A37D9C">
        <w:rPr>
          <w:rFonts w:ascii="Times New Roman" w:hAnsi="Times New Roman" w:cs="Times New Roman"/>
          <w:sz w:val="24"/>
          <w:szCs w:val="24"/>
        </w:rPr>
        <w:t>34 « О порядке разработки и утверждения бюджетного прогноза»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</w:p>
    <w:p w14:paraId="63718C48" w14:textId="77777777" w:rsidR="00A37D9C" w:rsidRDefault="00A37D9C" w:rsidP="00E7696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510BE1C" w14:textId="77777777" w:rsidR="00A37D9C" w:rsidRPr="00A37D9C" w:rsidRDefault="00A37D9C" w:rsidP="00A37D9C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Долгосрочный бюджетный прогноз разработан на основе базового варианта прогноза социально-экономического развития Светлогорского городского округа на долгосрочный период, утвержденного </w:t>
      </w:r>
      <w:hyperlink r:id="rId6" w:history="1">
        <w:r w:rsidRPr="00A37D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«Светлогорский городской округ» </w:t>
      </w:r>
      <w:r w:rsidRPr="00A3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2023 года № 1083</w:t>
      </w: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прогноза социально-экономического развития Калининградской области на среднесрочный период.</w:t>
      </w:r>
    </w:p>
    <w:p w14:paraId="65A8230B" w14:textId="1BB77AF0" w:rsidR="00A37D9C" w:rsidRPr="00A37D9C" w:rsidRDefault="00A37D9C" w:rsidP="00A37D9C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подходами к формированию налоговой, долговой и бюджетной политики в долгосрочном периоде являются реализация потенциала бюджетных доходов при сохранении стабильного уровня налоговых и неналоговых доходов местного бюджета, обеспечение приемлемого уровня долговой нагрузки, выполнение долговых и расходных обязательств, эффективность бюджетных расходов. Расходы бюджета формируются в условиях бюджетных ограничений в рамках полномочий муниципального образования и направлены прежде всего на финансовое обеспечение развития сферы бюджетных услуг, мер социальной поддержки населения, общественной инфраструктуры и бюджетную поддержку роста экономики. Бюджетная политика должна предусматривать меры по повышению эффективности государственного сектора экономики, в том числе сферы бюджетных услуг, формированию благоприятного инвестиционного климата, развитию бюджетных процедур и правил, направленных на минимизацию рисков влияния на местный бюджет негативных факторов социально-экономического развития.</w:t>
      </w:r>
    </w:p>
    <w:p w14:paraId="7E5552A1" w14:textId="77777777" w:rsidR="00A37D9C" w:rsidRPr="00A37D9C" w:rsidRDefault="00A37D9C" w:rsidP="00A37D9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Общей задачей и условием реализации налоговой, долговой и бюджетной политики является обеспечение долгосрочной сбалансированности и устойчивости бюджета округа.</w:t>
      </w:r>
    </w:p>
    <w:p w14:paraId="57EE0E68" w14:textId="3C728DD9" w:rsidR="00A37D9C" w:rsidRPr="00A37D9C" w:rsidRDefault="00A37D9C" w:rsidP="00A37D9C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Доходы бюджета округа определены исходя из прогноза снижения доли безвозмездных поступлений в объеме доходов бюджета округа к 2029 году. Налоговые и неналоговые доходы бюджета округа прогнозируются в долгосрочном периоде на уровне </w:t>
      </w:r>
      <w:r w:rsidRPr="00A37D9C">
        <w:rPr>
          <w:rFonts w:ascii="Times New Roman" w:eastAsia="Times New Roman" w:hAnsi="Times New Roman" w:cs="Times New Roman"/>
          <w:sz w:val="24"/>
          <w:szCs w:val="24"/>
          <w:lang w:eastAsia="ru-RU"/>
        </w:rPr>
        <w:t>5 п</w:t>
      </w: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роцента к параметрам среднесрочного и долгосрочного прогнозов социально-экономического развития в базовом варианте.</w:t>
      </w:r>
    </w:p>
    <w:p w14:paraId="62AB98E0" w14:textId="11B88A69" w:rsidR="00A37D9C" w:rsidRPr="00A37D9C" w:rsidRDefault="00A37D9C" w:rsidP="00A37D9C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объем расходов бюджета округа определен исходя из параметров доходов и дефицита бюджетов. Прогноз дефицита бюджета обусловлен остатками средств бюджета. </w:t>
      </w:r>
      <w:r w:rsidRPr="00A3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2025 по 2026 годы бюджет сбалансирован. </w:t>
      </w: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Прогнозируется уровень муниципального долга 0,0 тыс. рублей.</w:t>
      </w:r>
    </w:p>
    <w:p w14:paraId="6C14B532" w14:textId="685C627D" w:rsidR="00A37D9C" w:rsidRPr="00A37D9C" w:rsidRDefault="00A37D9C" w:rsidP="00A37D9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финансового обеспечения муниципальных программ Светлогорского городского округа на период их действия определены с учетом прогнозируемой динамики расходов бюджета округа, предназначенных для исполнения расходных обязательств Светлогорского городского округа. </w:t>
      </w:r>
    </w:p>
    <w:sectPr w:rsidR="00A37D9C" w:rsidRPr="00A37D9C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31592">
    <w:abstractNumId w:val="4"/>
  </w:num>
  <w:num w:numId="2" w16cid:durableId="1364943673">
    <w:abstractNumId w:val="6"/>
  </w:num>
  <w:num w:numId="3" w16cid:durableId="2035035713">
    <w:abstractNumId w:val="2"/>
  </w:num>
  <w:num w:numId="4" w16cid:durableId="624504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45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391208">
    <w:abstractNumId w:val="0"/>
  </w:num>
  <w:num w:numId="7" w16cid:durableId="1117145274">
    <w:abstractNumId w:val="3"/>
  </w:num>
  <w:num w:numId="8" w16cid:durableId="158082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2F2256"/>
    <w:rsid w:val="003318D5"/>
    <w:rsid w:val="0036446D"/>
    <w:rsid w:val="003737FC"/>
    <w:rsid w:val="003D4354"/>
    <w:rsid w:val="003F3E82"/>
    <w:rsid w:val="0043630E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610395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121FE"/>
    <w:rsid w:val="0094681A"/>
    <w:rsid w:val="00947C08"/>
    <w:rsid w:val="00984011"/>
    <w:rsid w:val="009C5A58"/>
    <w:rsid w:val="009F4210"/>
    <w:rsid w:val="00A11B54"/>
    <w:rsid w:val="00A202A3"/>
    <w:rsid w:val="00A354AE"/>
    <w:rsid w:val="00A37D9C"/>
    <w:rsid w:val="00A67EAF"/>
    <w:rsid w:val="00AC5F8E"/>
    <w:rsid w:val="00AD3B54"/>
    <w:rsid w:val="00AF6F17"/>
    <w:rsid w:val="00B538D9"/>
    <w:rsid w:val="00BB5A48"/>
    <w:rsid w:val="00C512E5"/>
    <w:rsid w:val="00C66FB2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F11E90"/>
    <w:rsid w:val="00F43F84"/>
    <w:rsid w:val="00F51620"/>
    <w:rsid w:val="00F734F8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00E8"/>
  <w15:docId w15:val="{C75D19C0-A4FD-4313-A4BF-2D47075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rsid w:val="009121FE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9121FE"/>
    <w:pPr>
      <w:widowControl w:val="0"/>
      <w:shd w:val="clear" w:color="auto" w:fill="FFFFFF"/>
      <w:spacing w:after="240" w:line="317" w:lineRule="exact"/>
      <w:ind w:hanging="780"/>
      <w:jc w:val="center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1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3FAFF6737AC3488D93B9E62E8C0F64A8FFE2477CE19CD69F73C04EB342971B9BD9EB1DD8C787FE0FB9E1A837ED78AE955A50EBC7C2572B7B47CR2j2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Усманова Наталья Манулловна</cp:lastModifiedBy>
  <cp:revision>3</cp:revision>
  <cp:lastPrinted>2023-10-27T09:52:00Z</cp:lastPrinted>
  <dcterms:created xsi:type="dcterms:W3CDTF">2024-01-18T15:32:00Z</dcterms:created>
  <dcterms:modified xsi:type="dcterms:W3CDTF">2024-01-18T15:40:00Z</dcterms:modified>
</cp:coreProperties>
</file>